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0A2" w:rsidRPr="004C5049" w:rsidRDefault="00FB10A2" w:rsidP="001E22E1">
      <w:pPr>
        <w:jc w:val="both"/>
        <w:rPr>
          <w:rFonts w:ascii="Century Gothic" w:hAnsi="Century Gothic"/>
          <w:bCs/>
          <w:color w:val="000000"/>
          <w:sz w:val="22"/>
          <w:szCs w:val="22"/>
        </w:rPr>
      </w:pPr>
      <w:r w:rsidRPr="004C5049">
        <w:rPr>
          <w:rFonts w:ascii="Century Gothic" w:hAnsi="Century Gothic"/>
          <w:noProof/>
          <w:sz w:val="22"/>
          <w:szCs w:val="22"/>
        </w:rPr>
        <w:drawing>
          <wp:anchor distT="0" distB="0" distL="114300" distR="114300" simplePos="0" relativeHeight="251659264" behindDoc="1" locked="0" layoutInCell="1" allowOverlap="1" wp14:anchorId="68AA1E21" wp14:editId="6152B9EB">
            <wp:simplePos x="0" y="0"/>
            <wp:positionH relativeFrom="page">
              <wp:align>right</wp:align>
            </wp:positionH>
            <wp:positionV relativeFrom="paragraph">
              <wp:posOffset>-774065</wp:posOffset>
            </wp:positionV>
            <wp:extent cx="7765319" cy="10048875"/>
            <wp:effectExtent l="0" t="0" r="762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65319" cy="10048875"/>
                    </a:xfrm>
                    <a:prstGeom prst="rect">
                      <a:avLst/>
                    </a:prstGeom>
                  </pic:spPr>
                </pic:pic>
              </a:graphicData>
            </a:graphic>
            <wp14:sizeRelH relativeFrom="page">
              <wp14:pctWidth>0</wp14:pctWidth>
            </wp14:sizeRelH>
            <wp14:sizeRelV relativeFrom="page">
              <wp14:pctHeight>0</wp14:pctHeight>
            </wp14:sizeRelV>
          </wp:anchor>
        </w:drawing>
      </w:r>
    </w:p>
    <w:p w:rsidR="00FB10A2" w:rsidRPr="004C5049" w:rsidRDefault="00FB10A2" w:rsidP="001E22E1">
      <w:pPr>
        <w:jc w:val="both"/>
        <w:rPr>
          <w:rFonts w:ascii="Century Gothic" w:hAnsi="Century Gothic"/>
          <w:bCs/>
          <w:color w:val="000000"/>
          <w:sz w:val="22"/>
          <w:szCs w:val="22"/>
        </w:rPr>
      </w:pPr>
    </w:p>
    <w:p w:rsidR="00C524D6" w:rsidRDefault="00C524D6" w:rsidP="004C5049">
      <w:pPr>
        <w:jc w:val="center"/>
        <w:rPr>
          <w:rFonts w:ascii="Century Gothic" w:hAnsi="Century Gothic"/>
          <w:b/>
          <w:bCs/>
          <w:color w:val="000000"/>
          <w:sz w:val="22"/>
        </w:rPr>
      </w:pPr>
    </w:p>
    <w:p w:rsidR="00D75F88" w:rsidRPr="00C524D6" w:rsidRDefault="00D75F88" w:rsidP="004C5049">
      <w:pPr>
        <w:jc w:val="center"/>
        <w:rPr>
          <w:rFonts w:ascii="Century Gothic" w:hAnsi="Century Gothic"/>
          <w:b/>
          <w:sz w:val="22"/>
        </w:rPr>
      </w:pPr>
      <w:r w:rsidRPr="00C524D6">
        <w:rPr>
          <w:rFonts w:ascii="Century Gothic" w:hAnsi="Century Gothic"/>
          <w:b/>
          <w:bCs/>
          <w:color w:val="000000"/>
          <w:sz w:val="22"/>
        </w:rPr>
        <w:t>PONENCIA PARA PRIMER DEBATE EN LA COMISIÓN PRIMERA DE LA CÁMARA DE REPRESENTANTES AL</w:t>
      </w:r>
      <w:r w:rsidRPr="00C524D6">
        <w:rPr>
          <w:rFonts w:ascii="Century Gothic" w:hAnsi="Century Gothic"/>
          <w:b/>
          <w:sz w:val="22"/>
        </w:rPr>
        <w:t xml:space="preserve"> PROYECTO DE ACTO LEGISLATIVO N° 375 DE 2024 CÁMARA “POR MEDIO DEL CUAL SE MODIFICA EL ARTÍCULO 286 Y EL ARTÍCULO 356 DE LA CONSTITUCIÓN POLÍTICA DE COLOMBIA Y SE INCLUYEN LAS COMUNIDADES NEGRAS EN LA ORGANIZACIÓN TERRITORIAL DEL ESTADO”</w:t>
      </w:r>
    </w:p>
    <w:p w:rsidR="00D75F88" w:rsidRPr="00C524D6" w:rsidRDefault="00D75F88" w:rsidP="00D75F88">
      <w:pPr>
        <w:spacing w:before="0" w:beforeAutospacing="0" w:after="0" w:afterAutospacing="0"/>
        <w:jc w:val="both"/>
        <w:rPr>
          <w:rFonts w:ascii="Century Gothic" w:hAnsi="Century Gothic"/>
          <w:bCs/>
          <w:color w:val="000000"/>
          <w:sz w:val="22"/>
        </w:rPr>
      </w:pPr>
    </w:p>
    <w:p w:rsidR="00D75F88" w:rsidRPr="00C524D6" w:rsidRDefault="00D75F88" w:rsidP="001E22E1">
      <w:pPr>
        <w:spacing w:before="0" w:beforeAutospacing="0" w:after="0" w:afterAutospacing="0"/>
        <w:jc w:val="both"/>
        <w:rPr>
          <w:rFonts w:ascii="Century Gothic" w:hAnsi="Century Gothic"/>
          <w:bCs/>
          <w:color w:val="000000"/>
          <w:sz w:val="22"/>
        </w:rPr>
      </w:pPr>
      <w:r w:rsidRPr="00C524D6">
        <w:rPr>
          <w:rFonts w:ascii="Century Gothic" w:hAnsi="Century Gothic"/>
          <w:bCs/>
          <w:color w:val="000000"/>
          <w:sz w:val="22"/>
        </w:rPr>
        <w:t xml:space="preserve">Señor </w:t>
      </w:r>
    </w:p>
    <w:p w:rsidR="001E22E1" w:rsidRPr="00C524D6" w:rsidRDefault="001E22E1" w:rsidP="001E22E1">
      <w:pPr>
        <w:spacing w:before="0" w:beforeAutospacing="0" w:after="0" w:afterAutospacing="0"/>
        <w:jc w:val="both"/>
        <w:rPr>
          <w:rFonts w:ascii="Century Gothic" w:hAnsi="Century Gothic"/>
          <w:bCs/>
          <w:color w:val="000000"/>
          <w:sz w:val="22"/>
        </w:rPr>
      </w:pPr>
      <w:r w:rsidRPr="00C524D6">
        <w:rPr>
          <w:rFonts w:ascii="Century Gothic" w:hAnsi="Century Gothic"/>
          <w:bCs/>
          <w:color w:val="000000"/>
          <w:sz w:val="22"/>
        </w:rPr>
        <w:t>Presidente</w:t>
      </w:r>
    </w:p>
    <w:p w:rsidR="001E22E1" w:rsidRPr="00C524D6" w:rsidRDefault="001E22E1" w:rsidP="001E22E1">
      <w:pPr>
        <w:spacing w:before="0" w:beforeAutospacing="0" w:after="0" w:afterAutospacing="0"/>
        <w:jc w:val="both"/>
        <w:rPr>
          <w:rFonts w:ascii="Century Gothic" w:hAnsi="Century Gothic"/>
          <w:b/>
          <w:color w:val="000000"/>
          <w:sz w:val="22"/>
        </w:rPr>
      </w:pPr>
      <w:r w:rsidRPr="00C524D6">
        <w:rPr>
          <w:rFonts w:ascii="Century Gothic" w:hAnsi="Century Gothic"/>
          <w:b/>
          <w:color w:val="000000"/>
          <w:sz w:val="22"/>
        </w:rPr>
        <w:t>Oscar Hernán Sánchez León</w:t>
      </w:r>
      <w:bookmarkStart w:id="0" w:name="_GoBack"/>
      <w:bookmarkEnd w:id="0"/>
    </w:p>
    <w:p w:rsidR="001E22E1" w:rsidRPr="00C524D6" w:rsidRDefault="001E22E1" w:rsidP="001E22E1">
      <w:pPr>
        <w:spacing w:before="0" w:beforeAutospacing="0" w:after="0" w:afterAutospacing="0"/>
        <w:jc w:val="both"/>
        <w:rPr>
          <w:rFonts w:ascii="Century Gothic" w:hAnsi="Century Gothic"/>
          <w:bCs/>
          <w:color w:val="000000"/>
          <w:sz w:val="22"/>
        </w:rPr>
      </w:pPr>
      <w:r w:rsidRPr="00C524D6">
        <w:rPr>
          <w:rFonts w:ascii="Century Gothic" w:hAnsi="Century Gothic"/>
          <w:bCs/>
          <w:color w:val="000000"/>
          <w:sz w:val="22"/>
        </w:rPr>
        <w:t>Comisión Primera Constitucional</w:t>
      </w:r>
    </w:p>
    <w:p w:rsidR="001E22E1" w:rsidRPr="00C524D6" w:rsidRDefault="001E22E1" w:rsidP="001E22E1">
      <w:pPr>
        <w:spacing w:before="0" w:beforeAutospacing="0" w:after="0" w:afterAutospacing="0"/>
        <w:jc w:val="both"/>
        <w:rPr>
          <w:rFonts w:ascii="Century Gothic" w:hAnsi="Century Gothic"/>
          <w:bCs/>
          <w:color w:val="000000"/>
          <w:sz w:val="22"/>
        </w:rPr>
      </w:pPr>
      <w:r w:rsidRPr="00C524D6">
        <w:rPr>
          <w:rFonts w:ascii="Century Gothic" w:hAnsi="Century Gothic"/>
          <w:bCs/>
          <w:color w:val="000000"/>
          <w:sz w:val="22"/>
        </w:rPr>
        <w:t>Cámara de Representantes</w:t>
      </w:r>
    </w:p>
    <w:p w:rsidR="001E22E1" w:rsidRPr="00C524D6" w:rsidRDefault="001E22E1" w:rsidP="001E22E1">
      <w:pPr>
        <w:spacing w:before="0" w:beforeAutospacing="0" w:after="0" w:afterAutospacing="0"/>
        <w:jc w:val="both"/>
        <w:rPr>
          <w:rFonts w:ascii="Century Gothic" w:hAnsi="Century Gothic"/>
          <w:bCs/>
          <w:color w:val="000000"/>
          <w:sz w:val="22"/>
        </w:rPr>
      </w:pPr>
      <w:r w:rsidRPr="00C524D6">
        <w:rPr>
          <w:rFonts w:ascii="Century Gothic" w:hAnsi="Century Gothic"/>
          <w:bCs/>
          <w:color w:val="000000"/>
          <w:sz w:val="22"/>
        </w:rPr>
        <w:t>Ciudad</w:t>
      </w:r>
    </w:p>
    <w:p w:rsidR="001E22E1" w:rsidRPr="00C524D6" w:rsidRDefault="001E22E1" w:rsidP="001E22E1">
      <w:pPr>
        <w:jc w:val="both"/>
        <w:rPr>
          <w:rFonts w:ascii="Century Gothic" w:hAnsi="Century Gothic"/>
          <w:b/>
          <w:sz w:val="22"/>
        </w:rPr>
      </w:pPr>
      <w:r w:rsidRPr="00C524D6">
        <w:rPr>
          <w:rFonts w:ascii="Century Gothic" w:hAnsi="Century Gothic"/>
          <w:b/>
          <w:bCs/>
          <w:color w:val="000000"/>
          <w:sz w:val="22"/>
        </w:rPr>
        <w:t xml:space="preserve">Asunto: Ponencia </w:t>
      </w:r>
      <w:r w:rsidR="00D75F88" w:rsidRPr="00C524D6">
        <w:rPr>
          <w:rFonts w:ascii="Century Gothic" w:hAnsi="Century Gothic"/>
          <w:b/>
          <w:bCs/>
          <w:color w:val="000000"/>
          <w:sz w:val="22"/>
        </w:rPr>
        <w:t xml:space="preserve">POSITIVA </w:t>
      </w:r>
      <w:r w:rsidRPr="00C524D6">
        <w:rPr>
          <w:rFonts w:ascii="Century Gothic" w:hAnsi="Century Gothic"/>
          <w:b/>
          <w:bCs/>
          <w:color w:val="000000"/>
          <w:sz w:val="22"/>
        </w:rPr>
        <w:t>para primer debate</w:t>
      </w:r>
      <w:r w:rsidRPr="00C524D6">
        <w:rPr>
          <w:rFonts w:ascii="Century Gothic" w:hAnsi="Century Gothic"/>
          <w:bCs/>
          <w:color w:val="000000"/>
          <w:sz w:val="22"/>
        </w:rPr>
        <w:t xml:space="preserve"> </w:t>
      </w:r>
      <w:r w:rsidRPr="00C524D6">
        <w:rPr>
          <w:rFonts w:ascii="Century Gothic" w:hAnsi="Century Gothic"/>
          <w:b/>
          <w:sz w:val="22"/>
        </w:rPr>
        <w:t>Proyecto de Acto Legislativo N° 375 de 2024 Cámara “Por Medio del Cual se Modifica el Artículo 286 y el artículo 356 de la Constitución Política de Colombia y se incluyen las comunidades negras en la organización territorial del Estado”</w:t>
      </w:r>
    </w:p>
    <w:p w:rsidR="001E22E1" w:rsidRPr="00C524D6" w:rsidRDefault="001E22E1" w:rsidP="001E22E1">
      <w:pPr>
        <w:jc w:val="both"/>
        <w:rPr>
          <w:rFonts w:ascii="Century Gothic" w:hAnsi="Century Gothic"/>
          <w:bCs/>
          <w:color w:val="000000"/>
          <w:sz w:val="22"/>
        </w:rPr>
      </w:pPr>
      <w:r w:rsidRPr="00C524D6">
        <w:rPr>
          <w:rFonts w:ascii="Century Gothic" w:hAnsi="Century Gothic"/>
          <w:bCs/>
          <w:color w:val="000000"/>
          <w:sz w:val="22"/>
        </w:rPr>
        <w:t xml:space="preserve">Respetado Presidente, </w:t>
      </w:r>
    </w:p>
    <w:p w:rsidR="00BA02E7" w:rsidRDefault="001E22E1" w:rsidP="00BA02E7">
      <w:pPr>
        <w:jc w:val="both"/>
        <w:rPr>
          <w:rFonts w:ascii="Century Gothic" w:hAnsi="Century Gothic"/>
          <w:bCs/>
          <w:color w:val="000000"/>
          <w:sz w:val="22"/>
        </w:rPr>
      </w:pPr>
      <w:r w:rsidRPr="00C524D6">
        <w:rPr>
          <w:rFonts w:ascii="Century Gothic" w:hAnsi="Century Gothic"/>
          <w:bCs/>
          <w:color w:val="000000"/>
          <w:sz w:val="22"/>
        </w:rPr>
        <w:t xml:space="preserve"> En cumplimiento de la designación hecha por la Mesa Directiva de la Comisión Primera Constitucional Permanente de la Cámara de Representantes, y siguiendo lo dispuesto en el artículo 174 de la ley 5 de 1992, se pone en consideración el siguiente informe de </w:t>
      </w:r>
      <w:r w:rsidR="00D75F88" w:rsidRPr="00C524D6">
        <w:rPr>
          <w:rFonts w:ascii="Century Gothic" w:hAnsi="Century Gothic"/>
          <w:b/>
          <w:bCs/>
          <w:color w:val="000000"/>
          <w:sz w:val="22"/>
        </w:rPr>
        <w:t>PONENCIA POSITIVA</w:t>
      </w:r>
      <w:r w:rsidRPr="00C524D6">
        <w:rPr>
          <w:rFonts w:ascii="Century Gothic" w:hAnsi="Century Gothic"/>
          <w:bCs/>
          <w:color w:val="000000"/>
          <w:sz w:val="22"/>
        </w:rPr>
        <w:t xml:space="preserve"> para primer debate del </w:t>
      </w:r>
      <w:r w:rsidRPr="00C524D6">
        <w:rPr>
          <w:rFonts w:ascii="Century Gothic" w:hAnsi="Century Gothic"/>
          <w:b/>
          <w:sz w:val="22"/>
        </w:rPr>
        <w:t xml:space="preserve">Proyecto de Acto Legislativo N° 375 de 2024 Cámara “Por Medio del Cual se Modifica el Artículo 286 y el artículo 356 de la Constitución Política de Colombia y se incluyen las comunidades negras en la organización territorial del Estado” </w:t>
      </w:r>
      <w:r w:rsidRPr="00C524D6">
        <w:rPr>
          <w:rFonts w:ascii="Century Gothic" w:hAnsi="Century Gothic"/>
          <w:bCs/>
          <w:color w:val="000000"/>
          <w:sz w:val="22"/>
        </w:rPr>
        <w:t>por las razones que se exponen en el cuerpo de la ponencia.</w:t>
      </w:r>
    </w:p>
    <w:p w:rsidR="00C524D6" w:rsidRDefault="00C524D6" w:rsidP="00BA02E7">
      <w:pPr>
        <w:jc w:val="both"/>
        <w:rPr>
          <w:rFonts w:ascii="Century Gothic" w:hAnsi="Century Gothic"/>
          <w:bCs/>
          <w:color w:val="000000"/>
          <w:sz w:val="22"/>
        </w:rPr>
      </w:pPr>
    </w:p>
    <w:p w:rsidR="00C524D6" w:rsidRPr="00C524D6" w:rsidRDefault="00C524D6" w:rsidP="00BA02E7">
      <w:pPr>
        <w:jc w:val="both"/>
        <w:rPr>
          <w:rFonts w:ascii="Century Gothic" w:hAnsi="Century Gothic"/>
          <w:bCs/>
          <w:color w:val="000000"/>
          <w:sz w:val="22"/>
        </w:rPr>
      </w:pPr>
    </w:p>
    <w:p w:rsidR="00BA02E7" w:rsidRPr="00843CA8" w:rsidRDefault="00BA02E7" w:rsidP="001E22E1">
      <w:pPr>
        <w:jc w:val="both"/>
        <w:rPr>
          <w:rFonts w:ascii="Century Gothic" w:hAnsi="Century Gothic"/>
          <w:bCs/>
          <w:color w:val="000000"/>
        </w:rPr>
      </w:pPr>
    </w:p>
    <w:p w:rsidR="00843CA8" w:rsidRDefault="00843CA8" w:rsidP="001E22E1">
      <w:pPr>
        <w:rPr>
          <w:rFonts w:ascii="Century Gothic" w:hAnsi="Century Gothic"/>
          <w:b/>
          <w:bCs/>
          <w:sz w:val="22"/>
          <w:szCs w:val="22"/>
        </w:rPr>
      </w:pPr>
    </w:p>
    <w:p w:rsidR="00843CA8" w:rsidRDefault="00843CA8" w:rsidP="001E22E1">
      <w:pPr>
        <w:rPr>
          <w:rFonts w:ascii="Century Gothic" w:hAnsi="Century Gothic"/>
          <w:b/>
          <w:bCs/>
          <w:sz w:val="22"/>
          <w:szCs w:val="22"/>
        </w:rPr>
      </w:pPr>
    </w:p>
    <w:p w:rsidR="00843CA8" w:rsidRPr="004C5049" w:rsidRDefault="00C524D6" w:rsidP="001E22E1">
      <w:pPr>
        <w:rPr>
          <w:rFonts w:ascii="Century Gothic" w:hAnsi="Century Gothic"/>
          <w:b/>
          <w:bCs/>
          <w:sz w:val="22"/>
          <w:szCs w:val="22"/>
        </w:rPr>
      </w:pPr>
      <w:r w:rsidRPr="004C5049">
        <w:rPr>
          <w:rFonts w:ascii="Century Gothic" w:hAnsi="Century Gothic"/>
          <w:noProof/>
          <w:sz w:val="22"/>
          <w:szCs w:val="22"/>
        </w:rPr>
        <w:lastRenderedPageBreak/>
        <w:drawing>
          <wp:anchor distT="0" distB="0" distL="114300" distR="114300" simplePos="0" relativeHeight="251661312" behindDoc="1" locked="0" layoutInCell="1" allowOverlap="1" wp14:anchorId="4E3D282B" wp14:editId="1B3AE512">
            <wp:simplePos x="0" y="0"/>
            <wp:positionH relativeFrom="page">
              <wp:align>right</wp:align>
            </wp:positionH>
            <wp:positionV relativeFrom="paragraph">
              <wp:posOffset>-895985</wp:posOffset>
            </wp:positionV>
            <wp:extent cx="7765319" cy="10048875"/>
            <wp:effectExtent l="0" t="0" r="762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65319" cy="10048875"/>
                    </a:xfrm>
                    <a:prstGeom prst="rect">
                      <a:avLst/>
                    </a:prstGeom>
                  </pic:spPr>
                </pic:pic>
              </a:graphicData>
            </a:graphic>
            <wp14:sizeRelH relativeFrom="page">
              <wp14:pctWidth>0</wp14:pctWidth>
            </wp14:sizeRelH>
            <wp14:sizeRelV relativeFrom="page">
              <wp14:pctHeight>0</wp14:pctHeight>
            </wp14:sizeRelV>
          </wp:anchor>
        </w:drawing>
      </w:r>
    </w:p>
    <w:p w:rsidR="001E22E1" w:rsidRPr="004C5049" w:rsidRDefault="001E22E1" w:rsidP="001E22E1">
      <w:pPr>
        <w:rPr>
          <w:rFonts w:ascii="Century Gothic" w:hAnsi="Century Gothic"/>
          <w:color w:val="000000"/>
          <w:sz w:val="22"/>
          <w:szCs w:val="22"/>
        </w:rPr>
      </w:pPr>
    </w:p>
    <w:p w:rsidR="00FB10A2" w:rsidRPr="004C5049" w:rsidRDefault="00FB10A2" w:rsidP="001E22E1">
      <w:pPr>
        <w:rPr>
          <w:rFonts w:ascii="Century Gothic" w:hAnsi="Century Gothic"/>
          <w:color w:val="000000"/>
          <w:sz w:val="22"/>
          <w:szCs w:val="22"/>
        </w:rPr>
      </w:pPr>
    </w:p>
    <w:p w:rsidR="00F238C4" w:rsidRPr="004C5049" w:rsidRDefault="00F238C4" w:rsidP="00F238C4">
      <w:pPr>
        <w:pStyle w:val="Ttulo2"/>
        <w:numPr>
          <w:ilvl w:val="0"/>
          <w:numId w:val="2"/>
        </w:numPr>
        <w:rPr>
          <w:rFonts w:ascii="Century Gothic" w:hAnsi="Century Gothic"/>
          <w:b/>
          <w:color w:val="auto"/>
          <w:sz w:val="22"/>
          <w:szCs w:val="22"/>
        </w:rPr>
      </w:pPr>
      <w:r w:rsidRPr="004C5049">
        <w:rPr>
          <w:rFonts w:ascii="Century Gothic" w:hAnsi="Century Gothic"/>
          <w:b/>
          <w:color w:val="auto"/>
          <w:sz w:val="22"/>
          <w:szCs w:val="22"/>
        </w:rPr>
        <w:t>ANTECEDENTES DE LA INCIATIVA</w:t>
      </w:r>
    </w:p>
    <w:p w:rsidR="009D6751" w:rsidRPr="004C5049" w:rsidRDefault="009D6751" w:rsidP="00A36E31">
      <w:pPr>
        <w:jc w:val="both"/>
        <w:rPr>
          <w:rFonts w:ascii="Century Gothic" w:hAnsi="Century Gothic"/>
          <w:sz w:val="22"/>
          <w:szCs w:val="22"/>
        </w:rPr>
      </w:pPr>
      <w:r w:rsidRPr="004C5049">
        <w:rPr>
          <w:rFonts w:ascii="Century Gothic" w:hAnsi="Century Gothic"/>
          <w:sz w:val="22"/>
          <w:szCs w:val="22"/>
        </w:rPr>
        <w:t>Esta iniciativa nace de la reivindicación que buscan las comunidades negras, afrocolombianas, raizales y palenqueras</w:t>
      </w:r>
      <w:r w:rsidR="00A36E31" w:rsidRPr="004C5049">
        <w:rPr>
          <w:rFonts w:ascii="Century Gothic" w:hAnsi="Century Gothic"/>
          <w:sz w:val="22"/>
          <w:szCs w:val="22"/>
        </w:rPr>
        <w:t xml:space="preserve"> respecto de su posición dentro del ordenamiento jurídico nacional, puesto que ha desconocido su rol efectivo como ente territorial al contar con territorio propio colectivo y determinado, población y cultura.  </w:t>
      </w:r>
    </w:p>
    <w:p w:rsidR="00F238C4" w:rsidRPr="004C5049" w:rsidRDefault="00F238C4" w:rsidP="00F238C4">
      <w:pPr>
        <w:pStyle w:val="Prrafodelista1"/>
        <w:numPr>
          <w:ilvl w:val="0"/>
          <w:numId w:val="2"/>
        </w:numPr>
        <w:rPr>
          <w:rFonts w:ascii="Century Gothic" w:eastAsia="Calibri" w:hAnsi="Century Gothic"/>
          <w:b/>
          <w:sz w:val="22"/>
          <w:szCs w:val="22"/>
        </w:rPr>
      </w:pPr>
      <w:r w:rsidRPr="004C5049">
        <w:rPr>
          <w:rFonts w:ascii="Century Gothic" w:eastAsia="Calibri" w:hAnsi="Century Gothic"/>
          <w:b/>
          <w:sz w:val="22"/>
          <w:szCs w:val="22"/>
        </w:rPr>
        <w:t>OBJETO DEL PROYECTO</w:t>
      </w:r>
    </w:p>
    <w:p w:rsidR="00F238C4" w:rsidRPr="004C5049" w:rsidRDefault="00F238C4" w:rsidP="00F238C4">
      <w:pPr>
        <w:pStyle w:val="Prrafodelista1"/>
        <w:ind w:left="720"/>
        <w:rPr>
          <w:rFonts w:ascii="Century Gothic" w:eastAsia="Calibri" w:hAnsi="Century Gothic"/>
          <w:b/>
          <w:sz w:val="22"/>
          <w:szCs w:val="22"/>
        </w:rPr>
      </w:pPr>
    </w:p>
    <w:p w:rsidR="00F238C4" w:rsidRPr="004C5049" w:rsidRDefault="00F238C4" w:rsidP="009D6751">
      <w:pPr>
        <w:pStyle w:val="Prrafodelista1"/>
        <w:jc w:val="both"/>
        <w:rPr>
          <w:rFonts w:ascii="Century Gothic" w:eastAsia="Calibri" w:hAnsi="Century Gothic"/>
          <w:b/>
          <w:sz w:val="22"/>
          <w:szCs w:val="22"/>
        </w:rPr>
      </w:pPr>
      <w:r w:rsidRPr="004C5049">
        <w:rPr>
          <w:rFonts w:ascii="Century Gothic" w:hAnsi="Century Gothic"/>
          <w:sz w:val="22"/>
          <w:szCs w:val="22"/>
        </w:rPr>
        <w:t xml:space="preserve">El proyecto de Acto Legislativo busca modificar el artículo 286 y el artículo 356 de la Constitución Política de 1991 con el objetivo de incorporar los territorios colectivos históricamente ocupados por las comunidades </w:t>
      </w:r>
      <w:r w:rsidR="009D6751" w:rsidRPr="004C5049">
        <w:rPr>
          <w:rFonts w:ascii="Century Gothic" w:hAnsi="Century Gothic"/>
          <w:sz w:val="22"/>
          <w:szCs w:val="22"/>
        </w:rPr>
        <w:t xml:space="preserve">negras, afrocolombianas, raizales y palenqueras </w:t>
      </w:r>
      <w:r w:rsidRPr="004C5049">
        <w:rPr>
          <w:rFonts w:ascii="Century Gothic" w:hAnsi="Century Gothic"/>
          <w:sz w:val="22"/>
          <w:szCs w:val="22"/>
        </w:rPr>
        <w:t>dentro de la estructura territorial o división política del país. Se persigue con ello concretar el principio de igualdad, consagrado en el artículo 13 de la Constitución, así como el principio de no discriminación establecido por la Comisión Interamericana de Derechos Humanos (CIDH) en sus decisiones respecto a poblaciones indígenas y tribales.</w:t>
      </w:r>
    </w:p>
    <w:p w:rsidR="00F238C4" w:rsidRPr="004C5049" w:rsidRDefault="00F238C4" w:rsidP="00F238C4">
      <w:pPr>
        <w:pStyle w:val="Prrafodelista"/>
        <w:numPr>
          <w:ilvl w:val="0"/>
          <w:numId w:val="2"/>
        </w:numPr>
        <w:rPr>
          <w:rFonts w:ascii="Century Gothic" w:hAnsi="Century Gothic"/>
          <w:sz w:val="22"/>
          <w:szCs w:val="22"/>
        </w:rPr>
      </w:pPr>
      <w:r w:rsidRPr="004C5049">
        <w:rPr>
          <w:rFonts w:ascii="Century Gothic" w:eastAsia="Calibri" w:hAnsi="Century Gothic"/>
          <w:b/>
          <w:sz w:val="22"/>
          <w:szCs w:val="22"/>
        </w:rPr>
        <w:t>JUSTIFICACIÓN DEL PROYECTO</w:t>
      </w:r>
    </w:p>
    <w:p w:rsidR="00A36E31" w:rsidRPr="004C5049" w:rsidRDefault="00A36E31" w:rsidP="00A36E31">
      <w:pPr>
        <w:pStyle w:val="Sinespaciado"/>
        <w:jc w:val="both"/>
        <w:rPr>
          <w:rFonts w:ascii="Century Gothic" w:hAnsi="Century Gothic"/>
        </w:rPr>
      </w:pPr>
      <w:r w:rsidRPr="004C5049">
        <w:rPr>
          <w:rFonts w:ascii="Century Gothic" w:hAnsi="Century Gothic"/>
        </w:rPr>
        <w:t xml:space="preserve">El Estado colombiano ha buscado garantizar la igualdad de acceso a la cultura para todos los ciudadanos, reconociendo la igualdad y dignidad de todas las personas en el país. A través de normas como la Ley 70 de 1993 y el Decreto 1088 de 1993, se pretende proteger a los grupos étnicos, especialmente las comunidades negras e indígenas, en términos de la titularidad de sus tierras, identidad y fomentar su desarrollo económico.  Adicionalmente, el artículo 70 de la Constitución establece el objetivo de promover los valores culturales de la nación. Para comprender estos valores, se pueden identificar aspectos relacionados con las culturas afrocolombiana, indígena y española, como el idioma, los grupos étnicos, las tradiciones a nivel nacional, regional y local, así como la normativa que protege estos elementos culturales, como monumentos y patrimonios, sin embargo, ha desconocido la necesidad histórica de ser un ente territorial a las comunidades negras, que tienen su propio territorio colectivo, población y cultura. </w:t>
      </w:r>
    </w:p>
    <w:p w:rsidR="00A36E31" w:rsidRPr="004C5049" w:rsidRDefault="00A36E31" w:rsidP="00A36E31">
      <w:pPr>
        <w:pStyle w:val="Sinespaciado"/>
        <w:jc w:val="both"/>
        <w:rPr>
          <w:rFonts w:ascii="Century Gothic" w:hAnsi="Century Gothic"/>
        </w:rPr>
      </w:pPr>
    </w:p>
    <w:p w:rsidR="00F238C4" w:rsidRPr="004C5049" w:rsidRDefault="00F238C4" w:rsidP="00F238C4">
      <w:pPr>
        <w:pStyle w:val="Sinespaciado"/>
        <w:jc w:val="both"/>
        <w:rPr>
          <w:rFonts w:ascii="Century Gothic" w:hAnsi="Century Gothic"/>
        </w:rPr>
      </w:pPr>
    </w:p>
    <w:p w:rsidR="00A36E31" w:rsidRPr="004C5049" w:rsidRDefault="00A36E31" w:rsidP="00F238C4">
      <w:pPr>
        <w:pStyle w:val="Sinespaciado"/>
        <w:jc w:val="both"/>
        <w:rPr>
          <w:rFonts w:ascii="Century Gothic" w:hAnsi="Century Gothic"/>
        </w:rPr>
      </w:pPr>
    </w:p>
    <w:p w:rsidR="00A36E31" w:rsidRPr="004C5049" w:rsidRDefault="00A36E31" w:rsidP="00F238C4">
      <w:pPr>
        <w:pStyle w:val="Sinespaciado"/>
        <w:jc w:val="both"/>
        <w:rPr>
          <w:rFonts w:ascii="Century Gothic" w:hAnsi="Century Gothic"/>
        </w:rPr>
      </w:pPr>
    </w:p>
    <w:p w:rsidR="00A36E31" w:rsidRDefault="00A36E31" w:rsidP="00F238C4">
      <w:pPr>
        <w:pStyle w:val="Sinespaciado"/>
        <w:jc w:val="both"/>
        <w:rPr>
          <w:rFonts w:ascii="Century Gothic" w:hAnsi="Century Gothic"/>
        </w:rPr>
      </w:pPr>
    </w:p>
    <w:p w:rsidR="004C5049" w:rsidRDefault="004C5049" w:rsidP="00F238C4">
      <w:pPr>
        <w:pStyle w:val="Sinespaciado"/>
        <w:jc w:val="both"/>
        <w:rPr>
          <w:rFonts w:ascii="Century Gothic" w:hAnsi="Century Gothic"/>
        </w:rPr>
      </w:pPr>
      <w:r w:rsidRPr="004C5049">
        <w:rPr>
          <w:rFonts w:ascii="Century Gothic" w:hAnsi="Century Gothic"/>
          <w:noProof/>
          <w:lang w:eastAsia="es-CO"/>
        </w:rPr>
        <w:lastRenderedPageBreak/>
        <w:drawing>
          <wp:anchor distT="0" distB="0" distL="114300" distR="114300" simplePos="0" relativeHeight="251663360" behindDoc="1" locked="0" layoutInCell="1" allowOverlap="1" wp14:anchorId="245AE4D5" wp14:editId="4E098E5A">
            <wp:simplePos x="0" y="0"/>
            <wp:positionH relativeFrom="page">
              <wp:align>right</wp:align>
            </wp:positionH>
            <wp:positionV relativeFrom="paragraph">
              <wp:posOffset>-900430</wp:posOffset>
            </wp:positionV>
            <wp:extent cx="7764780" cy="10991152"/>
            <wp:effectExtent l="0" t="0" r="7620" b="127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64780" cy="10991152"/>
                    </a:xfrm>
                    <a:prstGeom prst="rect">
                      <a:avLst/>
                    </a:prstGeom>
                  </pic:spPr>
                </pic:pic>
              </a:graphicData>
            </a:graphic>
            <wp14:sizeRelH relativeFrom="page">
              <wp14:pctWidth>0</wp14:pctWidth>
            </wp14:sizeRelH>
            <wp14:sizeRelV relativeFrom="page">
              <wp14:pctHeight>0</wp14:pctHeight>
            </wp14:sizeRelV>
          </wp:anchor>
        </w:drawing>
      </w:r>
    </w:p>
    <w:p w:rsidR="004C5049" w:rsidRDefault="004C5049" w:rsidP="00F238C4">
      <w:pPr>
        <w:pStyle w:val="Sinespaciado"/>
        <w:jc w:val="both"/>
        <w:rPr>
          <w:rFonts w:ascii="Century Gothic" w:hAnsi="Century Gothic"/>
        </w:rPr>
      </w:pPr>
    </w:p>
    <w:p w:rsidR="004C5049" w:rsidRPr="004C5049" w:rsidRDefault="004C5049" w:rsidP="00F238C4">
      <w:pPr>
        <w:pStyle w:val="Sinespaciado"/>
        <w:jc w:val="both"/>
        <w:rPr>
          <w:rFonts w:ascii="Century Gothic" w:hAnsi="Century Gothic"/>
        </w:rPr>
      </w:pPr>
    </w:p>
    <w:p w:rsidR="004C5049" w:rsidRDefault="004C5049" w:rsidP="004C5049">
      <w:pPr>
        <w:pStyle w:val="Sinespaciado"/>
        <w:ind w:left="720"/>
        <w:jc w:val="both"/>
        <w:rPr>
          <w:rFonts w:ascii="Century Gothic" w:hAnsi="Century Gothic"/>
          <w:b/>
        </w:rPr>
      </w:pPr>
    </w:p>
    <w:p w:rsidR="00F238C4" w:rsidRPr="004C5049" w:rsidRDefault="00F238C4" w:rsidP="00F238C4">
      <w:pPr>
        <w:pStyle w:val="Sinespaciado"/>
        <w:numPr>
          <w:ilvl w:val="0"/>
          <w:numId w:val="7"/>
        </w:numPr>
        <w:jc w:val="both"/>
        <w:rPr>
          <w:rFonts w:ascii="Century Gothic" w:hAnsi="Century Gothic"/>
          <w:b/>
        </w:rPr>
      </w:pPr>
      <w:r w:rsidRPr="004C5049">
        <w:rPr>
          <w:rFonts w:ascii="Century Gothic" w:hAnsi="Century Gothic"/>
          <w:b/>
        </w:rPr>
        <w:t>Rol histórico de las comunidades negras</w:t>
      </w:r>
    </w:p>
    <w:p w:rsidR="00F238C4" w:rsidRPr="004C5049" w:rsidRDefault="00F238C4" w:rsidP="00F238C4">
      <w:pPr>
        <w:pStyle w:val="Sinespaciado"/>
        <w:jc w:val="both"/>
        <w:rPr>
          <w:rFonts w:ascii="Century Gothic" w:hAnsi="Century Gothic"/>
        </w:rPr>
      </w:pPr>
    </w:p>
    <w:p w:rsidR="00F238C4" w:rsidRPr="004C5049" w:rsidRDefault="00F238C4" w:rsidP="00F238C4">
      <w:pPr>
        <w:pStyle w:val="Sinespaciado"/>
        <w:jc w:val="both"/>
        <w:rPr>
          <w:rFonts w:ascii="Century Gothic" w:hAnsi="Century Gothic"/>
        </w:rPr>
      </w:pPr>
      <w:r w:rsidRPr="004C5049">
        <w:rPr>
          <w:rFonts w:ascii="Century Gothic" w:hAnsi="Century Gothic"/>
        </w:rPr>
        <w:t>Desde la promulgación de leyes como la de julio de 1821 y la 2° de 1851, que abolieron la esclavitud, las comunidades negras en Colombia pasaron a ser invisibles durante gran parte del siglo XIX y XX. Su inclusión en el ordenamiento jurídico ocurrió en 1991, con la Constitución que promovió la multietnicidad y pluriculturalidad. La propiedad de sus territorios y el derecho a la consulta previa se reconocieron, principalmente a través del Convenio 169 de la OIT, incorporado en la Ley 21 de 1991.</w:t>
      </w:r>
    </w:p>
    <w:p w:rsidR="00FB10A2" w:rsidRPr="004C5049" w:rsidRDefault="00FB10A2" w:rsidP="00F238C4">
      <w:pPr>
        <w:pStyle w:val="Sinespaciado"/>
        <w:jc w:val="both"/>
        <w:rPr>
          <w:rFonts w:ascii="Century Gothic" w:hAnsi="Century Gothic"/>
        </w:rPr>
      </w:pPr>
    </w:p>
    <w:p w:rsidR="00F238C4" w:rsidRPr="004C5049" w:rsidRDefault="00F238C4" w:rsidP="00F238C4">
      <w:pPr>
        <w:pStyle w:val="Sinespaciado"/>
        <w:jc w:val="both"/>
        <w:rPr>
          <w:rFonts w:ascii="Century Gothic" w:hAnsi="Century Gothic"/>
        </w:rPr>
      </w:pPr>
      <w:r w:rsidRPr="004C5049">
        <w:rPr>
          <w:rFonts w:ascii="Century Gothic" w:hAnsi="Century Gothic"/>
        </w:rPr>
        <w:t>La Ley 70 de 1993 desarrolló los fines de protección y desarrollo social y económico de las comunidades negras. A pesar de los avances normativos, persisten barreras, especialmente en términos de igualdad. La aprobación de un proyecto de acto legislativo permitiría a estas comunidades avanzar hacia la autonomía, gestionar sus asuntos, ejercer competencias territoriales, administrar recursos y participar en rentas nacionales, según lo autoriza la constitución y la ley.</w:t>
      </w:r>
    </w:p>
    <w:p w:rsidR="00F238C4" w:rsidRPr="004C5049" w:rsidRDefault="00F238C4" w:rsidP="00F238C4">
      <w:pPr>
        <w:pStyle w:val="Sinespaciado"/>
        <w:jc w:val="both"/>
        <w:rPr>
          <w:rFonts w:ascii="Century Gothic" w:hAnsi="Century Gothic"/>
        </w:rPr>
      </w:pPr>
    </w:p>
    <w:p w:rsidR="00F238C4" w:rsidRPr="004C5049" w:rsidRDefault="00F238C4" w:rsidP="00F238C4">
      <w:pPr>
        <w:pStyle w:val="Sinespaciado"/>
        <w:numPr>
          <w:ilvl w:val="0"/>
          <w:numId w:val="7"/>
        </w:numPr>
        <w:jc w:val="both"/>
        <w:rPr>
          <w:rFonts w:ascii="Century Gothic" w:hAnsi="Century Gothic"/>
          <w:b/>
        </w:rPr>
      </w:pPr>
      <w:r w:rsidRPr="004C5049">
        <w:rPr>
          <w:rFonts w:ascii="Century Gothic" w:hAnsi="Century Gothic"/>
          <w:b/>
        </w:rPr>
        <w:t xml:space="preserve">Posición de las comunidades negras en el ordenamiento </w:t>
      </w:r>
    </w:p>
    <w:p w:rsidR="00F238C4" w:rsidRPr="004C5049" w:rsidRDefault="00F238C4" w:rsidP="00F238C4">
      <w:pPr>
        <w:pStyle w:val="Sinespaciado"/>
        <w:jc w:val="both"/>
        <w:rPr>
          <w:rFonts w:ascii="Century Gothic" w:hAnsi="Century Gothic" w:cs="Segoe UI"/>
          <w:color w:val="374151"/>
        </w:rPr>
      </w:pPr>
    </w:p>
    <w:p w:rsidR="00F238C4" w:rsidRPr="004C5049" w:rsidRDefault="00F238C4" w:rsidP="00F238C4">
      <w:pPr>
        <w:pStyle w:val="Sinespaciado"/>
        <w:jc w:val="both"/>
        <w:rPr>
          <w:rFonts w:ascii="Century Gothic" w:hAnsi="Century Gothic" w:cs="Segoe UI"/>
          <w:color w:val="374151"/>
        </w:rPr>
      </w:pPr>
      <w:r w:rsidRPr="004C5049">
        <w:rPr>
          <w:rFonts w:ascii="Century Gothic" w:hAnsi="Century Gothic" w:cs="Segoe UI"/>
          <w:color w:val="374151"/>
        </w:rPr>
        <w:t xml:space="preserve">La diversidad </w:t>
      </w:r>
      <w:proofErr w:type="spellStart"/>
      <w:r w:rsidRPr="004C5049">
        <w:rPr>
          <w:rFonts w:ascii="Century Gothic" w:hAnsi="Century Gothic" w:cs="Segoe UI"/>
          <w:color w:val="374151"/>
        </w:rPr>
        <w:t>etno</w:t>
      </w:r>
      <w:proofErr w:type="spellEnd"/>
      <w:r w:rsidRPr="004C5049">
        <w:rPr>
          <w:rFonts w:ascii="Century Gothic" w:hAnsi="Century Gothic" w:cs="Segoe UI"/>
          <w:color w:val="374151"/>
        </w:rPr>
        <w:t>-cultural y la autonomía de los pueblos tribales, de acuerdo con sus prácticas y la legislación, se consagran en el Convenio 169 de la OIT y la Ley 21 de 1991. Este convenio se fundamenta en el respeto a las culturas y estilos de vida tribales, reconociendo su derecho a definir prioridades para el desarrollo y a participar en decisiones que les afecten. Además, protege el derecho a la consulta previa y el consentimiento informado, destacando la importancia de preservar la diversidad cultural frente a proyectos extractivos. El Convenio 169 es un referente internacional para proteger los derechos de los pueblos tribales y evitar su discriminación. La evolución del derecho internacional desde 1957 ha llevado a adoptar nuevas normas que reconocen las aspiraciones de estos pueblos y su contribución a la diversidad cultural global, con la colaboración de diversas organizaciones internacionales.</w:t>
      </w:r>
    </w:p>
    <w:p w:rsidR="004C5049" w:rsidRDefault="00F238C4" w:rsidP="00F238C4">
      <w:pPr>
        <w:spacing w:line="254" w:lineRule="atLeast"/>
        <w:jc w:val="both"/>
        <w:rPr>
          <w:rFonts w:ascii="Century Gothic" w:hAnsi="Century Gothic"/>
          <w:sz w:val="22"/>
          <w:szCs w:val="22"/>
        </w:rPr>
      </w:pPr>
      <w:r w:rsidRPr="004C5049">
        <w:rPr>
          <w:rFonts w:ascii="Century Gothic" w:hAnsi="Century Gothic"/>
          <w:sz w:val="22"/>
          <w:szCs w:val="22"/>
        </w:rPr>
        <w:t xml:space="preserve">Se ha establecido una especial protección para las Comunidades Indígenas; por ello la Ley 89 de 1890 facultó a los Cabildos Indígenas para administrar lo relativo al gobierno económico de las parcialidades; las facultad para asociarse, de tal manera que posibilite su participación y permita fortalecer su </w:t>
      </w:r>
      <w:r w:rsidR="004C5049" w:rsidRPr="004C5049">
        <w:rPr>
          <w:rFonts w:ascii="Century Gothic" w:hAnsi="Century Gothic"/>
          <w:sz w:val="22"/>
          <w:szCs w:val="22"/>
        </w:rPr>
        <w:t>desarrollo económico</w:t>
      </w:r>
      <w:r w:rsidRPr="004C5049">
        <w:rPr>
          <w:rFonts w:ascii="Century Gothic" w:hAnsi="Century Gothic"/>
          <w:sz w:val="22"/>
          <w:szCs w:val="22"/>
        </w:rPr>
        <w:t xml:space="preserve">, social y cultura, tal como lo estableció para las comunidades Negras el artículo primero de la ley 70 de 1993; Pero a diferencia de la comunidades negras, estos derechos para las comunidades indígenas se materializaron en el Decreto ejecutivo No. 1088 de 1993 proferido por dicho Ministerio, y en su Artículo primero la citada norma consagra sobre la Aplicabilidad de las normas a Los Cabildos y/o Autoridades Tradicionales Indígenas, en representación de sus respectivos territorios indígenas, y que estas podrán conformar asociaciones o entidades sin ánimo de lucro, el artículo segundo consagra que la naturaleza </w:t>
      </w:r>
    </w:p>
    <w:p w:rsidR="004C5049" w:rsidRDefault="004C5049" w:rsidP="00F238C4">
      <w:pPr>
        <w:spacing w:line="254" w:lineRule="atLeast"/>
        <w:jc w:val="both"/>
        <w:rPr>
          <w:rFonts w:ascii="Century Gothic" w:hAnsi="Century Gothic"/>
          <w:sz w:val="22"/>
          <w:szCs w:val="22"/>
        </w:rPr>
      </w:pPr>
      <w:r w:rsidRPr="004C5049">
        <w:rPr>
          <w:rFonts w:ascii="Century Gothic" w:hAnsi="Century Gothic"/>
          <w:noProof/>
          <w:sz w:val="22"/>
          <w:szCs w:val="22"/>
        </w:rPr>
        <w:lastRenderedPageBreak/>
        <w:drawing>
          <wp:anchor distT="0" distB="0" distL="114300" distR="114300" simplePos="0" relativeHeight="251665408" behindDoc="1" locked="0" layoutInCell="1" allowOverlap="1" wp14:anchorId="719D90A3" wp14:editId="44C2B793">
            <wp:simplePos x="0" y="0"/>
            <wp:positionH relativeFrom="page">
              <wp:posOffset>404</wp:posOffset>
            </wp:positionH>
            <wp:positionV relativeFrom="paragraph">
              <wp:posOffset>-891540</wp:posOffset>
            </wp:positionV>
            <wp:extent cx="7764780" cy="10991152"/>
            <wp:effectExtent l="0" t="0" r="7620" b="127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64780" cy="10991152"/>
                    </a:xfrm>
                    <a:prstGeom prst="rect">
                      <a:avLst/>
                    </a:prstGeom>
                  </pic:spPr>
                </pic:pic>
              </a:graphicData>
            </a:graphic>
            <wp14:sizeRelH relativeFrom="page">
              <wp14:pctWidth>0</wp14:pctWidth>
            </wp14:sizeRelH>
            <wp14:sizeRelV relativeFrom="page">
              <wp14:pctHeight>0</wp14:pctHeight>
            </wp14:sizeRelV>
          </wp:anchor>
        </w:drawing>
      </w:r>
    </w:p>
    <w:p w:rsidR="004C5049" w:rsidRDefault="004C5049" w:rsidP="00F238C4">
      <w:pPr>
        <w:spacing w:line="254" w:lineRule="atLeast"/>
        <w:jc w:val="both"/>
        <w:rPr>
          <w:rFonts w:ascii="Century Gothic" w:hAnsi="Century Gothic"/>
          <w:sz w:val="22"/>
          <w:szCs w:val="22"/>
        </w:rPr>
      </w:pPr>
    </w:p>
    <w:p w:rsidR="00F238C4" w:rsidRPr="004C5049" w:rsidRDefault="00F238C4" w:rsidP="00F238C4">
      <w:pPr>
        <w:spacing w:line="254" w:lineRule="atLeast"/>
        <w:jc w:val="both"/>
        <w:rPr>
          <w:rFonts w:ascii="Century Gothic" w:hAnsi="Century Gothic"/>
          <w:sz w:val="22"/>
          <w:szCs w:val="22"/>
        </w:rPr>
      </w:pPr>
      <w:r w:rsidRPr="004C5049">
        <w:rPr>
          <w:rFonts w:ascii="Century Gothic" w:hAnsi="Century Gothic"/>
          <w:sz w:val="22"/>
          <w:szCs w:val="22"/>
        </w:rPr>
        <w:t>Jurídica de las asociaciones que crea el decreto, son entidades de Derecho Público de Carácter Especial, con Personería Jurídica, patrimonio propio y autonomía administrativa. Entendiendo según lo previsto en el artículo tercero que estas asociaciones tienen por objeto, el desarrollo integral de las comunidades indígenas y en su segundo aparte Para el cumplimiento de su objeto podrán desarrollar las siguientes acciones entre otras; Fomentar en sus comunidades proyectos de salud, educación y vivienda en coordinación con las respectivas autoridades nacionales, regionales o locales y con sujeción a las normas legales pertinentes.</w:t>
      </w:r>
    </w:p>
    <w:p w:rsidR="00F238C4" w:rsidRPr="004C5049" w:rsidRDefault="00F238C4" w:rsidP="00F238C4">
      <w:pPr>
        <w:spacing w:after="0" w:line="240" w:lineRule="auto"/>
        <w:contextualSpacing/>
        <w:jc w:val="both"/>
        <w:rPr>
          <w:rFonts w:ascii="Century Gothic" w:hAnsi="Century Gothic"/>
          <w:sz w:val="22"/>
          <w:szCs w:val="22"/>
        </w:rPr>
      </w:pPr>
      <w:r w:rsidRPr="004C5049">
        <w:rPr>
          <w:rFonts w:ascii="Century Gothic" w:hAnsi="Century Gothic" w:cs="Arial"/>
          <w:sz w:val="22"/>
          <w:szCs w:val="22"/>
        </w:rPr>
        <w:t xml:space="preserve">Siendo así las cosas, llama profundamente la atención él porqué  razón las comunidades negras asentadas en los Consejos Comunitarios no pueden constituir su propias entidades de salud, asociadas sin ánimo de lucro, </w:t>
      </w:r>
      <w:r w:rsidRPr="004C5049">
        <w:rPr>
          <w:rFonts w:ascii="Century Gothic" w:hAnsi="Century Gothic"/>
          <w:sz w:val="22"/>
          <w:szCs w:val="22"/>
        </w:rPr>
        <w:t xml:space="preserve">de tal manera que posibilite su participación y permita fortalecer su desarrollo económico, social y cultural, y en el más sentido humano es la posibilidad de superar esa deuda histórica del estado y poder resarcir económicamente los servicios de aquellos curanderos de culebras, parteras, curadores ancestrales, médicos alternativos, entre otros, que en efecto integrarían la nómina salarial de estas asociaciones sin ánimo de lucro, y  que día a día en los más apartados rincones del litoral pacífico vienen salvando vidas y se convierten en la atención primaria de salud o urgencia intercultural,  que no han podido acceder como prestadores al Sistema General de Seguridad Social en Salud y por esta razón su trabajo no es remunerad, partiendo de aplicación igualitaria de la máxima establecida en el </w:t>
      </w:r>
      <w:r w:rsidRPr="004C5049">
        <w:rPr>
          <w:rFonts w:ascii="Century Gothic" w:hAnsi="Century Gothic" w:cs="Avenir Light"/>
          <w:color w:val="000000"/>
          <w:sz w:val="22"/>
          <w:szCs w:val="22"/>
        </w:rPr>
        <w:t xml:space="preserve">Convenio 169 de la OIT (Organización Internacional del Trabajo) sobre Pueblos tribales, adoptado el 27 de junio de 1989 y </w:t>
      </w:r>
      <w:r w:rsidRPr="004C5049">
        <w:rPr>
          <w:rFonts w:ascii="Century Gothic" w:hAnsi="Century Gothic"/>
          <w:sz w:val="22"/>
          <w:szCs w:val="22"/>
        </w:rPr>
        <w:t>ratificado por Colombia por medio de la Ley 21 de 1991, por lo que tiene un rango superior a la propia Constitución Nacional.</w:t>
      </w:r>
    </w:p>
    <w:p w:rsidR="00F238C4" w:rsidRPr="004C5049" w:rsidRDefault="00F238C4" w:rsidP="00F238C4">
      <w:pPr>
        <w:spacing w:after="0" w:line="240" w:lineRule="auto"/>
        <w:contextualSpacing/>
        <w:jc w:val="both"/>
        <w:rPr>
          <w:rFonts w:ascii="Century Gothic" w:hAnsi="Century Gothic"/>
          <w:sz w:val="22"/>
          <w:szCs w:val="22"/>
        </w:rPr>
      </w:pPr>
    </w:p>
    <w:p w:rsidR="00F238C4" w:rsidRDefault="00F238C4" w:rsidP="00F238C4">
      <w:pPr>
        <w:spacing w:after="0" w:line="240" w:lineRule="auto"/>
        <w:contextualSpacing/>
        <w:jc w:val="both"/>
        <w:rPr>
          <w:rFonts w:ascii="Century Gothic" w:hAnsi="Century Gothic" w:cs="Avenir Light"/>
          <w:color w:val="000000"/>
          <w:sz w:val="22"/>
          <w:szCs w:val="22"/>
          <w:lang w:val="es-ES_tradnl"/>
        </w:rPr>
      </w:pPr>
      <w:r w:rsidRPr="004C5049">
        <w:rPr>
          <w:rFonts w:ascii="Century Gothic" w:hAnsi="Century Gothic"/>
          <w:sz w:val="22"/>
          <w:szCs w:val="22"/>
          <w:lang w:eastAsia="es-ES_tradnl"/>
        </w:rPr>
        <w:t xml:space="preserve">Este convenio que es una supra norma, reconoce el derecho de los Pueblos tribales a asumir el control de sus propias instituciones y formas de vida y de su desarrollo económico y a mantener y fortalecer sus identidades, lenguas y religiones, dentro del marco de los Estados en que viven. Es un </w:t>
      </w:r>
      <w:r w:rsidRPr="004C5049">
        <w:rPr>
          <w:rFonts w:ascii="Century Gothic" w:hAnsi="Century Gothic" w:cs="Avenir Light"/>
          <w:color w:val="000000"/>
          <w:sz w:val="22"/>
          <w:szCs w:val="22"/>
          <w:lang w:val="es-ES_tradnl"/>
        </w:rPr>
        <w:t>instrumento</w:t>
      </w:r>
      <w:r w:rsidR="00F11169">
        <w:rPr>
          <w:rFonts w:ascii="Century Gothic" w:hAnsi="Century Gothic" w:cs="Avenir Light"/>
          <w:color w:val="000000"/>
          <w:sz w:val="22"/>
          <w:szCs w:val="22"/>
          <w:lang w:val="es-ES_tradnl"/>
        </w:rPr>
        <w:t xml:space="preserve"> </w:t>
      </w:r>
      <w:r w:rsidRPr="004C5049">
        <w:rPr>
          <w:rFonts w:ascii="Century Gothic" w:hAnsi="Century Gothic" w:cs="Avenir Light"/>
          <w:color w:val="000000"/>
          <w:sz w:val="22"/>
          <w:szCs w:val="22"/>
          <w:lang w:val="es-ES_tradnl"/>
        </w:rPr>
        <w:t>jurídico internacional muy importante ya que protege los derechos de los pueblos tribales como sujeto colectivo.</w:t>
      </w:r>
    </w:p>
    <w:p w:rsidR="00F11169" w:rsidRPr="004C5049" w:rsidRDefault="00F11169" w:rsidP="00F238C4">
      <w:pPr>
        <w:spacing w:after="0" w:line="240" w:lineRule="auto"/>
        <w:contextualSpacing/>
        <w:jc w:val="both"/>
        <w:rPr>
          <w:rFonts w:ascii="Century Gothic" w:hAnsi="Century Gothic" w:cs="Arial"/>
          <w:sz w:val="22"/>
          <w:szCs w:val="22"/>
        </w:rPr>
      </w:pPr>
    </w:p>
    <w:p w:rsidR="00F11169" w:rsidRDefault="00F238C4" w:rsidP="00F238C4">
      <w:pPr>
        <w:widowControl w:val="0"/>
        <w:autoSpaceDE w:val="0"/>
        <w:autoSpaceDN w:val="0"/>
        <w:adjustRightInd w:val="0"/>
        <w:spacing w:after="240" w:line="240" w:lineRule="auto"/>
        <w:jc w:val="both"/>
        <w:rPr>
          <w:rFonts w:ascii="Century Gothic" w:hAnsi="Century Gothic"/>
          <w:sz w:val="22"/>
          <w:szCs w:val="22"/>
        </w:rPr>
      </w:pPr>
      <w:r w:rsidRPr="004C5049">
        <w:rPr>
          <w:rFonts w:ascii="Century Gothic" w:hAnsi="Century Gothic"/>
          <w:sz w:val="22"/>
          <w:szCs w:val="22"/>
        </w:rPr>
        <w:t xml:space="preserve">La ley 70 de 1993 Por la cual se desarrolla el artículo transitorio 55 de la Constitución Política, define en su artículo 1 señala en su artículo 1 que:  La presente ley tiene por objeto reconocer a las comunidades negras que han venido ocupando tierras baldías en las zonas rurales ribereñas de los ríos de la Cuenca del Pacífico, de acuerdo con sus prácticas tradicionales de producción, el derecho a la propiedad colectiva, de conformidad con lo dispuesto en los artículos siguientes. Así mismo tiene como propósito establecer mecanismos para la protección de la identidad cultural y de los derechos de las comunidades negras de Colombia como grupo étnico, y el fomento de su desarrollo económico y social, con el fin de garantizar que estas comunidades obtengan condiciones reales de igualdad de </w:t>
      </w:r>
    </w:p>
    <w:p w:rsidR="00F11169" w:rsidRDefault="00F11169" w:rsidP="00F238C4">
      <w:pPr>
        <w:widowControl w:val="0"/>
        <w:autoSpaceDE w:val="0"/>
        <w:autoSpaceDN w:val="0"/>
        <w:adjustRightInd w:val="0"/>
        <w:spacing w:after="240" w:line="240" w:lineRule="auto"/>
        <w:jc w:val="both"/>
        <w:rPr>
          <w:rFonts w:ascii="Century Gothic" w:hAnsi="Century Gothic"/>
          <w:sz w:val="22"/>
          <w:szCs w:val="22"/>
        </w:rPr>
      </w:pPr>
      <w:r w:rsidRPr="004C5049">
        <w:rPr>
          <w:rFonts w:ascii="Century Gothic" w:hAnsi="Century Gothic"/>
          <w:noProof/>
          <w:sz w:val="22"/>
          <w:szCs w:val="22"/>
        </w:rPr>
        <w:lastRenderedPageBreak/>
        <w:drawing>
          <wp:anchor distT="0" distB="0" distL="114300" distR="114300" simplePos="0" relativeHeight="251667456" behindDoc="1" locked="0" layoutInCell="1" allowOverlap="1" wp14:anchorId="188CFD4A" wp14:editId="73DDB71A">
            <wp:simplePos x="0" y="0"/>
            <wp:positionH relativeFrom="page">
              <wp:align>right</wp:align>
            </wp:positionH>
            <wp:positionV relativeFrom="paragraph">
              <wp:posOffset>-886460</wp:posOffset>
            </wp:positionV>
            <wp:extent cx="7764780" cy="10991152"/>
            <wp:effectExtent l="0" t="0" r="7620" b="127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64780" cy="10991152"/>
                    </a:xfrm>
                    <a:prstGeom prst="rect">
                      <a:avLst/>
                    </a:prstGeom>
                  </pic:spPr>
                </pic:pic>
              </a:graphicData>
            </a:graphic>
            <wp14:sizeRelH relativeFrom="page">
              <wp14:pctWidth>0</wp14:pctWidth>
            </wp14:sizeRelH>
            <wp14:sizeRelV relativeFrom="page">
              <wp14:pctHeight>0</wp14:pctHeight>
            </wp14:sizeRelV>
          </wp:anchor>
        </w:drawing>
      </w:r>
    </w:p>
    <w:p w:rsidR="00F11169" w:rsidRDefault="00F11169" w:rsidP="00F238C4">
      <w:pPr>
        <w:widowControl w:val="0"/>
        <w:autoSpaceDE w:val="0"/>
        <w:autoSpaceDN w:val="0"/>
        <w:adjustRightInd w:val="0"/>
        <w:spacing w:after="240" w:line="240" w:lineRule="auto"/>
        <w:jc w:val="both"/>
        <w:rPr>
          <w:rFonts w:ascii="Century Gothic" w:hAnsi="Century Gothic"/>
          <w:sz w:val="22"/>
          <w:szCs w:val="22"/>
        </w:rPr>
      </w:pPr>
    </w:p>
    <w:p w:rsidR="00F238C4" w:rsidRPr="004C5049" w:rsidRDefault="00F238C4" w:rsidP="00F238C4">
      <w:pPr>
        <w:widowControl w:val="0"/>
        <w:autoSpaceDE w:val="0"/>
        <w:autoSpaceDN w:val="0"/>
        <w:adjustRightInd w:val="0"/>
        <w:spacing w:after="240" w:line="240" w:lineRule="auto"/>
        <w:jc w:val="both"/>
        <w:rPr>
          <w:rFonts w:ascii="Century Gothic" w:hAnsi="Century Gothic"/>
          <w:sz w:val="22"/>
          <w:szCs w:val="22"/>
        </w:rPr>
      </w:pPr>
      <w:r w:rsidRPr="004C5049">
        <w:rPr>
          <w:rFonts w:ascii="Century Gothic" w:hAnsi="Century Gothic"/>
          <w:sz w:val="22"/>
          <w:szCs w:val="22"/>
        </w:rPr>
        <w:t>oportunidades frente al resto de la sociedad colombiana.</w:t>
      </w:r>
    </w:p>
    <w:p w:rsidR="00F238C4" w:rsidRPr="004C5049" w:rsidRDefault="00F238C4" w:rsidP="00F238C4">
      <w:pPr>
        <w:spacing w:after="0" w:line="240" w:lineRule="auto"/>
        <w:jc w:val="both"/>
        <w:rPr>
          <w:rFonts w:ascii="Century Gothic" w:hAnsi="Century Gothic" w:cs="Times New Roman"/>
          <w:b/>
          <w:i/>
          <w:sz w:val="22"/>
          <w:szCs w:val="22"/>
        </w:rPr>
      </w:pPr>
      <w:r w:rsidRPr="004C5049">
        <w:rPr>
          <w:rFonts w:ascii="Century Gothic" w:hAnsi="Century Gothic" w:cs="Times New Roman"/>
          <w:sz w:val="22"/>
          <w:szCs w:val="22"/>
        </w:rPr>
        <w:t xml:space="preserve">De igual manera, en el artículo 3, capitulo II, de la ley 70 se señala que los principios son: </w:t>
      </w:r>
    </w:p>
    <w:p w:rsidR="00F238C4" w:rsidRPr="004C5049" w:rsidRDefault="00F238C4" w:rsidP="00F238C4">
      <w:pPr>
        <w:spacing w:after="0" w:line="240" w:lineRule="auto"/>
        <w:ind w:left="720"/>
        <w:jc w:val="both"/>
        <w:rPr>
          <w:rFonts w:ascii="Century Gothic" w:hAnsi="Century Gothic" w:cs="Times New Roman"/>
          <w:i/>
          <w:sz w:val="22"/>
          <w:szCs w:val="22"/>
        </w:rPr>
      </w:pPr>
      <w:r w:rsidRPr="004C5049">
        <w:rPr>
          <w:rFonts w:ascii="Century Gothic" w:hAnsi="Century Gothic" w:cs="Times New Roman"/>
          <w:i/>
          <w:sz w:val="22"/>
          <w:szCs w:val="22"/>
        </w:rPr>
        <w:t>1. El reconocimiento y la protección de la diversidad étnica y cultural y el derecho a la igualdad de todas las culturas que conforman la nacionalidad colombiana.</w:t>
      </w:r>
      <w:r w:rsidRPr="004C5049">
        <w:rPr>
          <w:rFonts w:ascii="Century Gothic" w:hAnsi="Century Gothic" w:cs="Times New Roman"/>
          <w:i/>
          <w:sz w:val="22"/>
          <w:szCs w:val="22"/>
        </w:rPr>
        <w:br/>
        <w:t>2. El respeto a la integralidad y la dignidad de la vida cultural de las comunidades negras.</w:t>
      </w:r>
    </w:p>
    <w:p w:rsidR="00F238C4" w:rsidRPr="004C5049" w:rsidRDefault="00F238C4" w:rsidP="00F238C4">
      <w:pPr>
        <w:spacing w:after="0" w:line="240" w:lineRule="auto"/>
        <w:ind w:left="720"/>
        <w:jc w:val="both"/>
        <w:rPr>
          <w:rFonts w:ascii="Century Gothic" w:hAnsi="Century Gothic" w:cs="Times New Roman"/>
          <w:i/>
          <w:sz w:val="22"/>
          <w:szCs w:val="22"/>
        </w:rPr>
      </w:pPr>
      <w:r w:rsidRPr="004C5049">
        <w:rPr>
          <w:rFonts w:ascii="Century Gothic" w:hAnsi="Century Gothic" w:cs="Times New Roman"/>
          <w:i/>
          <w:sz w:val="22"/>
          <w:szCs w:val="22"/>
        </w:rPr>
        <w:t>3. La participación de las comunidades negras y sus organizaciones sin detrimento de su autonomía, en las decisiones que las afectan y en las de toda la Nación en pie de igualdad, de conformidad con la ley.</w:t>
      </w:r>
    </w:p>
    <w:p w:rsidR="00F238C4" w:rsidRPr="004C5049" w:rsidRDefault="00F238C4" w:rsidP="00A36E31">
      <w:pPr>
        <w:spacing w:after="0" w:line="240" w:lineRule="auto"/>
        <w:ind w:left="720"/>
        <w:jc w:val="both"/>
        <w:rPr>
          <w:rFonts w:ascii="Century Gothic" w:hAnsi="Century Gothic" w:cs="Arial"/>
          <w:bCs/>
          <w:sz w:val="22"/>
          <w:szCs w:val="22"/>
        </w:rPr>
      </w:pPr>
      <w:r w:rsidRPr="004C5049">
        <w:rPr>
          <w:rFonts w:ascii="Century Gothic" w:hAnsi="Century Gothic" w:cs="Times New Roman"/>
          <w:i/>
          <w:sz w:val="22"/>
          <w:szCs w:val="22"/>
        </w:rPr>
        <w:t>4. La protección del medio ambiente atendiendo a las relaciones establecidas por las comunidades negras con la naturaleza.</w:t>
      </w:r>
    </w:p>
    <w:p w:rsidR="00F238C4" w:rsidRPr="004C5049" w:rsidRDefault="00F238C4" w:rsidP="00A36E31">
      <w:pPr>
        <w:autoSpaceDE w:val="0"/>
        <w:autoSpaceDN w:val="0"/>
        <w:adjustRightInd w:val="0"/>
        <w:spacing w:after="0" w:line="240" w:lineRule="auto"/>
        <w:jc w:val="both"/>
        <w:rPr>
          <w:rFonts w:ascii="Century Gothic" w:hAnsi="Century Gothic" w:cs="Arial"/>
          <w:i/>
          <w:sz w:val="22"/>
          <w:szCs w:val="22"/>
        </w:rPr>
      </w:pPr>
      <w:r w:rsidRPr="004C5049">
        <w:rPr>
          <w:rFonts w:ascii="Century Gothic" w:hAnsi="Century Gothic" w:cs="Arial"/>
          <w:bCs/>
          <w:sz w:val="22"/>
          <w:szCs w:val="22"/>
        </w:rPr>
        <w:t>La Resolución No. 1035 de 14 de junio de 2022, página 85 define el enfoque diferencial de derechos así:</w:t>
      </w:r>
    </w:p>
    <w:p w:rsidR="00F238C4" w:rsidRPr="004C5049" w:rsidRDefault="00F238C4" w:rsidP="00F238C4">
      <w:pPr>
        <w:autoSpaceDE w:val="0"/>
        <w:autoSpaceDN w:val="0"/>
        <w:adjustRightInd w:val="0"/>
        <w:spacing w:after="0" w:line="240" w:lineRule="auto"/>
        <w:jc w:val="both"/>
        <w:rPr>
          <w:rFonts w:ascii="Century Gothic" w:hAnsi="Century Gothic" w:cs="Arial"/>
          <w:i/>
          <w:sz w:val="22"/>
          <w:szCs w:val="22"/>
        </w:rPr>
      </w:pPr>
      <w:r w:rsidRPr="004C5049">
        <w:rPr>
          <w:rFonts w:ascii="Century Gothic" w:hAnsi="Century Gothic" w:cs="Arial"/>
          <w:i/>
          <w:sz w:val="22"/>
          <w:szCs w:val="22"/>
        </w:rPr>
        <w:t>Como se expresó en el marco de los derechos humanos, sus características estructurantes y en particular, la igualdad y no discriminación, se constituyen en un elemento central de las maneras en las que la vida digna se debe materializar. Esto significa para la salud pública que las aspiraciones derivadas del contrato social basado en derechos, relativas al logro del más alto nivel de salud posible, se deben dar sin discriminaciones por ninguna</w:t>
      </w:r>
      <w:r w:rsidR="00F11169">
        <w:rPr>
          <w:rFonts w:ascii="Century Gothic" w:hAnsi="Century Gothic" w:cs="Arial"/>
          <w:i/>
          <w:sz w:val="22"/>
          <w:szCs w:val="22"/>
        </w:rPr>
        <w:t xml:space="preserve"> </w:t>
      </w:r>
      <w:r w:rsidRPr="004C5049">
        <w:rPr>
          <w:rFonts w:ascii="Century Gothic" w:hAnsi="Century Gothic" w:cs="Arial"/>
          <w:i/>
          <w:sz w:val="22"/>
          <w:szCs w:val="22"/>
        </w:rPr>
        <w:t>razón y con acciones afirmativas que prevengan, superen, corrijan y reparen cualquier condición o situación en las que se generen desigualdades o brechas de equidad entre grupos o segmentos poblacionales.</w:t>
      </w:r>
    </w:p>
    <w:p w:rsidR="00F238C4" w:rsidRPr="004C5049" w:rsidRDefault="00F238C4" w:rsidP="00F238C4">
      <w:pPr>
        <w:autoSpaceDE w:val="0"/>
        <w:autoSpaceDN w:val="0"/>
        <w:adjustRightInd w:val="0"/>
        <w:spacing w:after="0" w:line="240" w:lineRule="auto"/>
        <w:jc w:val="both"/>
        <w:rPr>
          <w:rFonts w:ascii="Century Gothic" w:hAnsi="Century Gothic" w:cs="Arial"/>
          <w:i/>
          <w:sz w:val="22"/>
          <w:szCs w:val="22"/>
        </w:rPr>
      </w:pPr>
      <w:r w:rsidRPr="004C5049">
        <w:rPr>
          <w:rFonts w:ascii="Century Gothic" w:hAnsi="Century Gothic" w:cs="Arial"/>
          <w:i/>
          <w:sz w:val="22"/>
          <w:szCs w:val="22"/>
        </w:rPr>
        <w:t>La normatividad vigente establece que el Estado debe ofrecer garantías especiales a estos segmentos, con el fin de responder a sus particularidades, pues se diferencian del resto en cuanto a la especificidad de sus fragilidades, "la desigualdad formal y real", las necesidades de protección y atención distintas y a las posibilidades de reconstruir su proyecto de vida digna (Corte constitucional: sentencia C-438 de 2013)</w:t>
      </w:r>
    </w:p>
    <w:p w:rsidR="00F11169" w:rsidRDefault="00F238C4" w:rsidP="00F238C4">
      <w:pPr>
        <w:autoSpaceDE w:val="0"/>
        <w:autoSpaceDN w:val="0"/>
        <w:adjustRightInd w:val="0"/>
        <w:spacing w:after="0" w:line="240" w:lineRule="auto"/>
        <w:jc w:val="both"/>
        <w:rPr>
          <w:rFonts w:ascii="Century Gothic" w:hAnsi="Century Gothic" w:cs="Arial"/>
          <w:i/>
          <w:sz w:val="22"/>
          <w:szCs w:val="22"/>
        </w:rPr>
      </w:pPr>
      <w:r w:rsidRPr="004C5049">
        <w:rPr>
          <w:rFonts w:ascii="Century Gothic" w:hAnsi="Century Gothic" w:cs="Arial"/>
          <w:i/>
          <w:sz w:val="22"/>
          <w:szCs w:val="22"/>
        </w:rPr>
        <w:t xml:space="preserve">La Corte Constitucional se ha referido a la categoría de "sujetos de especial protección constitucional", señalando como tales a sujetos como los niños y niñas, las madres cabeza de familia, a las personas en situación de discapacidad, a la población desplazada, a las personas mayores, y todas aquellas personas que por su situación de "debilidad manifiesta" o "estado de indefensión", están en una </w:t>
      </w:r>
    </w:p>
    <w:p w:rsidR="00F11169" w:rsidRDefault="00F11169" w:rsidP="00F238C4">
      <w:pPr>
        <w:autoSpaceDE w:val="0"/>
        <w:autoSpaceDN w:val="0"/>
        <w:adjustRightInd w:val="0"/>
        <w:spacing w:after="0" w:line="240" w:lineRule="auto"/>
        <w:jc w:val="both"/>
        <w:rPr>
          <w:rFonts w:ascii="Century Gothic" w:hAnsi="Century Gothic" w:cs="Arial"/>
          <w:i/>
          <w:sz w:val="22"/>
          <w:szCs w:val="22"/>
        </w:rPr>
      </w:pPr>
      <w:r w:rsidRPr="004C5049">
        <w:rPr>
          <w:rFonts w:ascii="Century Gothic" w:hAnsi="Century Gothic"/>
          <w:noProof/>
          <w:sz w:val="22"/>
          <w:szCs w:val="22"/>
        </w:rPr>
        <w:lastRenderedPageBreak/>
        <w:drawing>
          <wp:anchor distT="0" distB="0" distL="114300" distR="114300" simplePos="0" relativeHeight="251669504" behindDoc="1" locked="0" layoutInCell="1" allowOverlap="1" wp14:anchorId="120165E2" wp14:editId="5AAE4533">
            <wp:simplePos x="0" y="0"/>
            <wp:positionH relativeFrom="page">
              <wp:align>right</wp:align>
            </wp:positionH>
            <wp:positionV relativeFrom="paragraph">
              <wp:posOffset>-902335</wp:posOffset>
            </wp:positionV>
            <wp:extent cx="7764780" cy="10991152"/>
            <wp:effectExtent l="0" t="0" r="7620" b="127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64780" cy="10991152"/>
                    </a:xfrm>
                    <a:prstGeom prst="rect">
                      <a:avLst/>
                    </a:prstGeom>
                  </pic:spPr>
                </pic:pic>
              </a:graphicData>
            </a:graphic>
            <wp14:sizeRelH relativeFrom="page">
              <wp14:pctWidth>0</wp14:pctWidth>
            </wp14:sizeRelH>
            <wp14:sizeRelV relativeFrom="page">
              <wp14:pctHeight>0</wp14:pctHeight>
            </wp14:sizeRelV>
          </wp:anchor>
        </w:drawing>
      </w:r>
    </w:p>
    <w:p w:rsidR="00F11169" w:rsidRDefault="00F11169" w:rsidP="00F238C4">
      <w:pPr>
        <w:autoSpaceDE w:val="0"/>
        <w:autoSpaceDN w:val="0"/>
        <w:adjustRightInd w:val="0"/>
        <w:spacing w:after="0" w:line="240" w:lineRule="auto"/>
        <w:jc w:val="both"/>
        <w:rPr>
          <w:rFonts w:ascii="Century Gothic" w:hAnsi="Century Gothic" w:cs="Arial"/>
          <w:i/>
          <w:sz w:val="22"/>
          <w:szCs w:val="22"/>
        </w:rPr>
      </w:pPr>
    </w:p>
    <w:p w:rsidR="00F238C4" w:rsidRPr="004C5049" w:rsidRDefault="00F238C4" w:rsidP="00F238C4">
      <w:pPr>
        <w:autoSpaceDE w:val="0"/>
        <w:autoSpaceDN w:val="0"/>
        <w:adjustRightInd w:val="0"/>
        <w:spacing w:after="0" w:line="240" w:lineRule="auto"/>
        <w:jc w:val="both"/>
        <w:rPr>
          <w:rFonts w:ascii="Century Gothic" w:hAnsi="Century Gothic" w:cs="Arial"/>
          <w:sz w:val="22"/>
          <w:szCs w:val="22"/>
        </w:rPr>
      </w:pPr>
      <w:r w:rsidRPr="004C5049">
        <w:rPr>
          <w:rFonts w:ascii="Century Gothic" w:hAnsi="Century Gothic" w:cs="Arial"/>
          <w:i/>
          <w:sz w:val="22"/>
          <w:szCs w:val="22"/>
        </w:rPr>
        <w:t>posición de desigualdad material con respecto al resto de la población, considerando que requieren de un tratamiento de especial protección y, por ende, se les debe aplicar un "amparo reforzado", debido a la deuda histórica del Estado con estos grupos poblacionales" (Corte Constitucional en su Auto 006 de 2009, Sentencia T-282, 2008 y T-341 de 2012, C-293 de 2010)</w:t>
      </w:r>
    </w:p>
    <w:p w:rsidR="00F238C4" w:rsidRPr="004C5049" w:rsidRDefault="00F238C4" w:rsidP="00F238C4">
      <w:pPr>
        <w:autoSpaceDE w:val="0"/>
        <w:autoSpaceDN w:val="0"/>
        <w:adjustRightInd w:val="0"/>
        <w:spacing w:after="0" w:line="240" w:lineRule="auto"/>
        <w:jc w:val="both"/>
        <w:rPr>
          <w:rFonts w:ascii="Century Gothic" w:hAnsi="Century Gothic" w:cs="Arial"/>
          <w:i/>
          <w:sz w:val="22"/>
          <w:szCs w:val="22"/>
        </w:rPr>
      </w:pPr>
      <w:r w:rsidRPr="004C5049">
        <w:rPr>
          <w:rFonts w:ascii="Century Gothic" w:hAnsi="Century Gothic" w:cs="Arial"/>
          <w:i/>
          <w:sz w:val="22"/>
          <w:szCs w:val="22"/>
        </w:rPr>
        <w:t xml:space="preserve">El Enfoque con Pueblos y Comunidades en salud propia e intercultural permite identificar, comprender y resolver, en perspectiva intercultural, más allá de las vulnerabilidades existentes, la cultura para la vida y la 'salud, el ambiente y salud, la 'protección social y' la integralidad en salud concebidos en el Plan Decenal de Salud Pública 2022 —2031, con el propósito de orientar la gestión de la salud pública con enfoque territorial y con visión </w:t>
      </w:r>
      <w:proofErr w:type="spellStart"/>
      <w:r w:rsidRPr="004C5049">
        <w:rPr>
          <w:rFonts w:ascii="Century Gothic" w:hAnsi="Century Gothic" w:cs="Arial"/>
          <w:i/>
          <w:sz w:val="22"/>
          <w:szCs w:val="22"/>
        </w:rPr>
        <w:t>biocéntrica</w:t>
      </w:r>
      <w:proofErr w:type="spellEnd"/>
      <w:r w:rsidRPr="004C5049">
        <w:rPr>
          <w:rFonts w:ascii="Century Gothic" w:hAnsi="Century Gothic" w:cs="Arial"/>
          <w:i/>
          <w:sz w:val="22"/>
          <w:szCs w:val="22"/>
        </w:rPr>
        <w:t>, para la garantía del derecho a un ambiente sano y por tanto, a la protección del ambiente natural, sus ecosistemas y la biodiversidad.</w:t>
      </w:r>
    </w:p>
    <w:p w:rsidR="00D32B05" w:rsidRPr="004C5049" w:rsidRDefault="00F238C4" w:rsidP="00F238C4">
      <w:pPr>
        <w:autoSpaceDE w:val="0"/>
        <w:autoSpaceDN w:val="0"/>
        <w:adjustRightInd w:val="0"/>
        <w:spacing w:after="0" w:line="240" w:lineRule="auto"/>
        <w:jc w:val="both"/>
        <w:rPr>
          <w:rFonts w:ascii="Century Gothic" w:hAnsi="Century Gothic"/>
          <w:i/>
          <w:sz w:val="22"/>
          <w:szCs w:val="22"/>
          <w:lang w:val="es-ES"/>
        </w:rPr>
      </w:pPr>
      <w:r w:rsidRPr="004C5049">
        <w:rPr>
          <w:rFonts w:ascii="Century Gothic" w:hAnsi="Century Gothic" w:cs="Arial"/>
          <w:i/>
          <w:sz w:val="22"/>
          <w:szCs w:val="22"/>
          <w:u w:val="single"/>
        </w:rPr>
        <w:t xml:space="preserve">El enfoque con pueblos y comunidades se aplica a las comunidades indígenas, negras, afrocolombianas, raizales, palenqueras y ROM, que conservan su identidad cultural y sus cosmovisiones, que los distingue de la mayoría de la población nacional. </w:t>
      </w:r>
    </w:p>
    <w:p w:rsidR="00F238C4" w:rsidRPr="004C5049" w:rsidRDefault="00F238C4" w:rsidP="00F238C4">
      <w:pPr>
        <w:autoSpaceDE w:val="0"/>
        <w:autoSpaceDN w:val="0"/>
        <w:adjustRightInd w:val="0"/>
        <w:spacing w:after="0" w:line="240" w:lineRule="auto"/>
        <w:jc w:val="both"/>
        <w:rPr>
          <w:rFonts w:ascii="Century Gothic" w:hAnsi="Century Gothic" w:cs="Times New Roman"/>
          <w:i/>
          <w:sz w:val="22"/>
          <w:szCs w:val="22"/>
        </w:rPr>
      </w:pPr>
      <w:r w:rsidRPr="004C5049">
        <w:rPr>
          <w:rFonts w:ascii="Century Gothic" w:hAnsi="Century Gothic"/>
          <w:i/>
          <w:sz w:val="22"/>
          <w:szCs w:val="22"/>
          <w:lang w:val="es-ES"/>
        </w:rPr>
        <w:t xml:space="preserve">Las comunidades negras, afrocolombianas, raizales o palenqueras están protegidas por un robusto y consistente bloque normativo, así como por la jurisprudencia de la Corte Constitucional y por distintas leyes y actos administrativos. </w:t>
      </w:r>
      <w:r w:rsidRPr="004C5049">
        <w:rPr>
          <w:rFonts w:ascii="Century Gothic" w:hAnsi="Century Gothic" w:cs="Arial"/>
          <w:i/>
          <w:sz w:val="22"/>
          <w:szCs w:val="22"/>
        </w:rPr>
        <w:t xml:space="preserve">Los desarrollos estratégicos de estos pueblos y comunidades  los cuales nacen de sus voces, sentires y necesidades en un marco de construcción conjunta con los actores del SGSSS, estos como apuestas políticas, jurídicas y organizativas para el reconocimiento de los derechos como pueblos en materia de salud para las comunidades negras, afrocolombianas, raizales y palenqueras, entre los fundamentos están los acuerdos protocolizados mediante Consulta Previa (Decreto 1372 de 2018), Convenio 169 de 1989 de la OIT, Plan de Acción del Decenio de las y los Afrodescendientes en las Américas (2016-2025), Ley 70 de 1993 y los Planes de </w:t>
      </w:r>
      <w:proofErr w:type="spellStart"/>
      <w:r w:rsidRPr="004C5049">
        <w:rPr>
          <w:rFonts w:ascii="Century Gothic" w:hAnsi="Century Gothic" w:cs="Arial"/>
          <w:i/>
          <w:sz w:val="22"/>
          <w:szCs w:val="22"/>
        </w:rPr>
        <w:t>Etnodesarrollo</w:t>
      </w:r>
      <w:proofErr w:type="spellEnd"/>
      <w:r w:rsidRPr="004C5049">
        <w:rPr>
          <w:rFonts w:ascii="Century Gothic" w:hAnsi="Century Gothic" w:cs="Arial"/>
          <w:i/>
          <w:sz w:val="22"/>
          <w:szCs w:val="22"/>
        </w:rPr>
        <w:t>. Finalmente, para el caso de las comunidades negras, afrocolombianas, raizales y palenqueras, su fundamento es el Acta de Protocolización por Consulta Previa.</w:t>
      </w:r>
    </w:p>
    <w:p w:rsidR="00BE6A63" w:rsidRDefault="00F238C4" w:rsidP="00F238C4">
      <w:pPr>
        <w:spacing w:after="0" w:line="240" w:lineRule="auto"/>
        <w:ind w:right="49"/>
        <w:jc w:val="both"/>
        <w:rPr>
          <w:rFonts w:ascii="Century Gothic" w:hAnsi="Century Gothic"/>
          <w:i/>
          <w:sz w:val="22"/>
          <w:szCs w:val="22"/>
          <w:lang w:val="es-ES"/>
        </w:rPr>
      </w:pPr>
      <w:r w:rsidRPr="004C5049">
        <w:rPr>
          <w:rFonts w:ascii="Century Gothic" w:hAnsi="Century Gothic"/>
          <w:i/>
          <w:sz w:val="22"/>
          <w:szCs w:val="22"/>
          <w:lang w:val="es-ES"/>
        </w:rPr>
        <w:t xml:space="preserve">La jurisprudencia constitucional ha identificado y garantizado los derechos a la diversidad, pluralidad, identidad y al reconocimiento cultural de estas colectividades. Lo ha hecho mediante decisiones que buscan eliminar toda forma de discriminación o negación histórica en su contra y avalando acciones afirmativas que materializan su derecho a la igualdad, en una sociedad con una historia excluyente y diferenciadora. También ha concretado el alcance de estos derechos, a través de sentencias que protegen expresiones de esa diversidad, </w:t>
      </w:r>
    </w:p>
    <w:p w:rsidR="00BE6A63" w:rsidRDefault="00BE6A63" w:rsidP="00F238C4">
      <w:pPr>
        <w:spacing w:after="0" w:line="240" w:lineRule="auto"/>
        <w:ind w:right="49"/>
        <w:jc w:val="both"/>
        <w:rPr>
          <w:rFonts w:ascii="Century Gothic" w:hAnsi="Century Gothic"/>
          <w:i/>
          <w:sz w:val="22"/>
          <w:szCs w:val="22"/>
          <w:lang w:val="es-ES"/>
        </w:rPr>
      </w:pPr>
      <w:r w:rsidRPr="004C5049">
        <w:rPr>
          <w:rFonts w:ascii="Century Gothic" w:hAnsi="Century Gothic"/>
          <w:noProof/>
          <w:sz w:val="22"/>
          <w:szCs w:val="22"/>
        </w:rPr>
        <w:lastRenderedPageBreak/>
        <w:drawing>
          <wp:anchor distT="0" distB="0" distL="114300" distR="114300" simplePos="0" relativeHeight="251671552" behindDoc="1" locked="0" layoutInCell="1" allowOverlap="1" wp14:anchorId="4C1132D9" wp14:editId="4AD89B07">
            <wp:simplePos x="0" y="0"/>
            <wp:positionH relativeFrom="page">
              <wp:align>right</wp:align>
            </wp:positionH>
            <wp:positionV relativeFrom="paragraph">
              <wp:posOffset>-899795</wp:posOffset>
            </wp:positionV>
            <wp:extent cx="7764780" cy="10991152"/>
            <wp:effectExtent l="0" t="0" r="7620" b="127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64780" cy="10991152"/>
                    </a:xfrm>
                    <a:prstGeom prst="rect">
                      <a:avLst/>
                    </a:prstGeom>
                  </pic:spPr>
                </pic:pic>
              </a:graphicData>
            </a:graphic>
            <wp14:sizeRelH relativeFrom="page">
              <wp14:pctWidth>0</wp14:pctWidth>
            </wp14:sizeRelH>
            <wp14:sizeRelV relativeFrom="page">
              <wp14:pctHeight>0</wp14:pctHeight>
            </wp14:sizeRelV>
          </wp:anchor>
        </w:drawing>
      </w:r>
    </w:p>
    <w:p w:rsidR="00BE6A63" w:rsidRDefault="00BE6A63" w:rsidP="00F238C4">
      <w:pPr>
        <w:spacing w:after="0" w:line="240" w:lineRule="auto"/>
        <w:ind w:right="49"/>
        <w:jc w:val="both"/>
        <w:rPr>
          <w:rFonts w:ascii="Century Gothic" w:hAnsi="Century Gothic"/>
          <w:i/>
          <w:sz w:val="22"/>
          <w:szCs w:val="22"/>
          <w:lang w:val="es-ES"/>
        </w:rPr>
      </w:pPr>
    </w:p>
    <w:p w:rsidR="00F238C4" w:rsidRPr="004C5049" w:rsidRDefault="00F238C4" w:rsidP="00F238C4">
      <w:pPr>
        <w:spacing w:after="0" w:line="240" w:lineRule="auto"/>
        <w:ind w:right="49"/>
        <w:jc w:val="both"/>
        <w:rPr>
          <w:rFonts w:ascii="Century Gothic" w:hAnsi="Century Gothic"/>
          <w:i/>
          <w:sz w:val="22"/>
          <w:szCs w:val="22"/>
          <w:lang w:val="es-ES"/>
        </w:rPr>
      </w:pPr>
      <w:r w:rsidRPr="004C5049">
        <w:rPr>
          <w:rFonts w:ascii="Century Gothic" w:hAnsi="Century Gothic"/>
          <w:i/>
          <w:sz w:val="22"/>
          <w:szCs w:val="22"/>
          <w:lang w:val="es-ES"/>
        </w:rPr>
        <w:t>tales como el idioma, la educación, la salud, la participación en política, la consulta previa, el derecho colectivo a la propiedad de la tierra y a la cultura.</w:t>
      </w:r>
    </w:p>
    <w:p w:rsidR="00F238C4" w:rsidRPr="004C5049" w:rsidRDefault="00F238C4" w:rsidP="00F238C4">
      <w:pPr>
        <w:jc w:val="both"/>
        <w:rPr>
          <w:rFonts w:ascii="Century Gothic" w:hAnsi="Century Gothic" w:cs="Arial"/>
          <w:b/>
          <w:i/>
          <w:sz w:val="22"/>
          <w:szCs w:val="22"/>
        </w:rPr>
      </w:pPr>
      <w:r w:rsidRPr="004C5049">
        <w:rPr>
          <w:rStyle w:val="markedcontent"/>
          <w:rFonts w:ascii="Century Gothic" w:hAnsi="Century Gothic" w:cs="Arial"/>
          <w:i/>
          <w:sz w:val="22"/>
          <w:szCs w:val="22"/>
        </w:rPr>
        <w:t>La Corte Constitucional, mediante sentencia C- 932 del 2007, ha sostenido que la interpretación sistemática de la Constitución de 1991 permite concluir que las autoridades públicas pueden adoptar medidas para favorecer a un grupo de personas que se encuentran en situación de debilidad producida por desigualdades culturales, históricas, sociales o económicas. Así, en la sentencia precedente dijo que estas medidas son "instrumentos diferenciales diseñados para asegurar la satisfacción de bienes y servicios en una sociedad caracterizada por la escasez". De esta forma, las acciones afirmativas como género y las medidas de discriminación positiva o inversa como especie, están dirigidas a remover diferencias fácticas que si bien son reales no deben continuar en un Estado cuya finalidad primordial es conseguir una sociedad más equitativa y justa, por lo cual se entiende la</w:t>
      </w:r>
      <w:r w:rsidR="000964B6">
        <w:rPr>
          <w:rStyle w:val="markedcontent"/>
          <w:rFonts w:ascii="Century Gothic" w:hAnsi="Century Gothic" w:cs="Arial"/>
          <w:i/>
          <w:sz w:val="22"/>
          <w:szCs w:val="22"/>
        </w:rPr>
        <w:t xml:space="preserve"> </w:t>
      </w:r>
      <w:r w:rsidRPr="004C5049">
        <w:rPr>
          <w:rStyle w:val="markedcontent"/>
          <w:rFonts w:ascii="Century Gothic" w:hAnsi="Century Gothic" w:cs="Arial"/>
          <w:i/>
          <w:sz w:val="22"/>
          <w:szCs w:val="22"/>
        </w:rPr>
        <w:t>presente medida como acción afirmativa a favor de los Pueblos indígenas, en cumplimiento de los fines estatales, reconociendo capacidad contractual a las estructuras organizativas propias de los pueblos indígenas</w:t>
      </w:r>
      <w:r w:rsidRPr="004C5049">
        <w:rPr>
          <w:rStyle w:val="markedcontent"/>
          <w:rFonts w:ascii="Century Gothic" w:hAnsi="Century Gothic" w:cs="Arial"/>
          <w:b/>
          <w:i/>
          <w:sz w:val="22"/>
          <w:szCs w:val="22"/>
        </w:rPr>
        <w:t>.</w:t>
      </w:r>
    </w:p>
    <w:p w:rsidR="00F238C4" w:rsidRPr="004C5049" w:rsidRDefault="00F238C4" w:rsidP="00F238C4">
      <w:pPr>
        <w:pStyle w:val="Sinespaciado"/>
        <w:jc w:val="both"/>
        <w:rPr>
          <w:rFonts w:ascii="Century Gothic" w:hAnsi="Century Gothic"/>
        </w:rPr>
      </w:pPr>
      <w:r w:rsidRPr="004C5049">
        <w:rPr>
          <w:rFonts w:ascii="Century Gothic" w:hAnsi="Century Gothic"/>
        </w:rPr>
        <w:t>La Corte Constitucional destaca el caso de las comunidades indígenas y negras como paradigmático, ubicadas generalmente en la periferia geográfica y económica del país, enfrentando altos niveles de pobreza y marginación. Considera que, debido a su situación de indefensión, merecen una protección especial por parte del Estado, en línea con el artículo 13 de la Constitución, y ve el proyecto bajo revisión como una forma válida de discriminación positiva para contrarrestar desigualdades materiales.</w:t>
      </w:r>
    </w:p>
    <w:p w:rsidR="00F238C4" w:rsidRPr="004C5049" w:rsidRDefault="00F238C4" w:rsidP="00F238C4">
      <w:pPr>
        <w:pStyle w:val="Sinespaciado"/>
        <w:jc w:val="both"/>
        <w:rPr>
          <w:rFonts w:ascii="Century Gothic" w:hAnsi="Century Gothic"/>
        </w:rPr>
      </w:pPr>
    </w:p>
    <w:p w:rsidR="00F238C4" w:rsidRPr="004C5049" w:rsidRDefault="00F238C4" w:rsidP="00F238C4">
      <w:pPr>
        <w:pStyle w:val="Sinespaciado"/>
        <w:jc w:val="both"/>
        <w:rPr>
          <w:rFonts w:ascii="Century Gothic" w:hAnsi="Century Gothic"/>
        </w:rPr>
      </w:pPr>
      <w:r w:rsidRPr="004C5049">
        <w:rPr>
          <w:rFonts w:ascii="Century Gothic" w:hAnsi="Century Gothic"/>
        </w:rPr>
        <w:t>En cuanto a la modificación del artículo 286, la Corte busca preservar la coherencia de representación, autonomía territorial y garantías constitucionales, destacando la exclusión de las comunidades negras de la organización territorial como una violación al derecho a la igualdad. Asemejar a las comunidades negras como un grupo étnico les otorga derechos colectivos similares a las comunidades indígenas, que sí están contempladas en la organización territorial.</w:t>
      </w:r>
    </w:p>
    <w:p w:rsidR="00F238C4" w:rsidRPr="004C5049" w:rsidRDefault="00F238C4" w:rsidP="00F238C4">
      <w:pPr>
        <w:pStyle w:val="Sinespaciado"/>
        <w:jc w:val="both"/>
        <w:rPr>
          <w:rFonts w:ascii="Century Gothic" w:hAnsi="Century Gothic"/>
        </w:rPr>
      </w:pPr>
    </w:p>
    <w:p w:rsidR="00F238C4" w:rsidRPr="004C5049" w:rsidRDefault="00F238C4" w:rsidP="00F238C4">
      <w:pPr>
        <w:pStyle w:val="Sinespaciado"/>
        <w:jc w:val="both"/>
        <w:rPr>
          <w:rFonts w:ascii="Century Gothic" w:hAnsi="Century Gothic"/>
        </w:rPr>
      </w:pPr>
      <w:r w:rsidRPr="004C5049">
        <w:rPr>
          <w:rFonts w:ascii="Century Gothic" w:hAnsi="Century Gothic"/>
        </w:rPr>
        <w:t>La Corte reconoce las acciones afirmativas y la discriminación positiva como herramientas para materializar la igualdad real, considerando que son medidas transitorias cuyo desmonte se evalúa según su eficacia en superar la desigualdad.</w:t>
      </w:r>
    </w:p>
    <w:p w:rsidR="00495B2B" w:rsidRPr="004C5049" w:rsidRDefault="00495B2B" w:rsidP="00495B2B">
      <w:pPr>
        <w:pStyle w:val="Sinespaciado"/>
      </w:pPr>
    </w:p>
    <w:p w:rsidR="00495B2B" w:rsidRDefault="00495B2B" w:rsidP="00495B2B">
      <w:pPr>
        <w:pStyle w:val="Sinespaciado"/>
        <w:ind w:left="720"/>
        <w:rPr>
          <w:rFonts w:ascii="Century Gothic" w:hAnsi="Century Gothic"/>
          <w:b/>
        </w:rPr>
      </w:pPr>
    </w:p>
    <w:p w:rsidR="00BE6A63" w:rsidRDefault="00BE6A63" w:rsidP="00BE6A63">
      <w:pPr>
        <w:pStyle w:val="Sinespaciado"/>
        <w:ind w:left="720"/>
        <w:rPr>
          <w:rFonts w:ascii="Century Gothic" w:hAnsi="Century Gothic"/>
          <w:b/>
        </w:rPr>
      </w:pPr>
    </w:p>
    <w:p w:rsidR="000964B6" w:rsidRDefault="000964B6" w:rsidP="00BE6A63">
      <w:pPr>
        <w:pStyle w:val="Sinespaciado"/>
        <w:ind w:left="720"/>
        <w:rPr>
          <w:rFonts w:ascii="Century Gothic" w:hAnsi="Century Gothic"/>
          <w:b/>
        </w:rPr>
      </w:pPr>
    </w:p>
    <w:p w:rsidR="000964B6" w:rsidRDefault="000964B6" w:rsidP="00BE6A63">
      <w:pPr>
        <w:pStyle w:val="Sinespaciado"/>
        <w:ind w:left="720"/>
        <w:rPr>
          <w:rFonts w:ascii="Century Gothic" w:hAnsi="Century Gothic"/>
          <w:b/>
        </w:rPr>
      </w:pPr>
    </w:p>
    <w:p w:rsidR="000964B6" w:rsidRDefault="000964B6" w:rsidP="00BE6A63">
      <w:pPr>
        <w:pStyle w:val="Sinespaciado"/>
        <w:ind w:left="720"/>
        <w:rPr>
          <w:rFonts w:ascii="Century Gothic" w:hAnsi="Century Gothic"/>
          <w:b/>
        </w:rPr>
      </w:pPr>
    </w:p>
    <w:p w:rsidR="00BE6A63" w:rsidRDefault="00BE6A63" w:rsidP="00BE6A63">
      <w:pPr>
        <w:pStyle w:val="Sinespaciado"/>
        <w:ind w:left="720"/>
        <w:rPr>
          <w:rFonts w:ascii="Century Gothic" w:hAnsi="Century Gothic"/>
          <w:b/>
        </w:rPr>
      </w:pPr>
    </w:p>
    <w:p w:rsidR="000964B6" w:rsidRDefault="000964B6" w:rsidP="000964B6">
      <w:pPr>
        <w:pStyle w:val="Sinespaciado"/>
        <w:ind w:left="720"/>
        <w:rPr>
          <w:rFonts w:ascii="Century Gothic" w:hAnsi="Century Gothic"/>
          <w:b/>
        </w:rPr>
      </w:pPr>
      <w:r w:rsidRPr="004C5049">
        <w:rPr>
          <w:rFonts w:ascii="Century Gothic" w:hAnsi="Century Gothic"/>
          <w:noProof/>
          <w:lang w:eastAsia="es-CO"/>
        </w:rPr>
        <w:lastRenderedPageBreak/>
        <w:drawing>
          <wp:anchor distT="0" distB="0" distL="114300" distR="114300" simplePos="0" relativeHeight="251673600" behindDoc="1" locked="0" layoutInCell="1" allowOverlap="1" wp14:anchorId="7A33FB81" wp14:editId="37448D35">
            <wp:simplePos x="0" y="0"/>
            <wp:positionH relativeFrom="page">
              <wp:align>right</wp:align>
            </wp:positionH>
            <wp:positionV relativeFrom="paragraph">
              <wp:posOffset>-897890</wp:posOffset>
            </wp:positionV>
            <wp:extent cx="7764780" cy="10991152"/>
            <wp:effectExtent l="0" t="0" r="7620" b="127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64780" cy="10991152"/>
                    </a:xfrm>
                    <a:prstGeom prst="rect">
                      <a:avLst/>
                    </a:prstGeom>
                  </pic:spPr>
                </pic:pic>
              </a:graphicData>
            </a:graphic>
            <wp14:sizeRelH relativeFrom="page">
              <wp14:pctWidth>0</wp14:pctWidth>
            </wp14:sizeRelH>
            <wp14:sizeRelV relativeFrom="page">
              <wp14:pctHeight>0</wp14:pctHeight>
            </wp14:sizeRelV>
          </wp:anchor>
        </w:drawing>
      </w:r>
    </w:p>
    <w:p w:rsidR="000964B6" w:rsidRDefault="000964B6" w:rsidP="000964B6">
      <w:pPr>
        <w:pStyle w:val="Sinespaciado"/>
        <w:ind w:left="360"/>
        <w:rPr>
          <w:rFonts w:ascii="Century Gothic" w:hAnsi="Century Gothic"/>
          <w:b/>
        </w:rPr>
      </w:pPr>
    </w:p>
    <w:p w:rsidR="000964B6" w:rsidRDefault="000964B6" w:rsidP="000964B6">
      <w:pPr>
        <w:pStyle w:val="Sinespaciado"/>
        <w:ind w:left="720"/>
        <w:rPr>
          <w:rFonts w:ascii="Century Gothic" w:hAnsi="Century Gothic"/>
          <w:b/>
        </w:rPr>
      </w:pPr>
    </w:p>
    <w:p w:rsidR="000964B6" w:rsidRDefault="000964B6" w:rsidP="000964B6">
      <w:pPr>
        <w:pStyle w:val="Sinespaciado"/>
        <w:ind w:left="720"/>
        <w:rPr>
          <w:rFonts w:ascii="Century Gothic" w:hAnsi="Century Gothic"/>
          <w:b/>
        </w:rPr>
      </w:pPr>
    </w:p>
    <w:p w:rsidR="00F238C4" w:rsidRPr="004C5049" w:rsidRDefault="00F238C4" w:rsidP="00F238C4">
      <w:pPr>
        <w:pStyle w:val="Sinespaciado"/>
        <w:numPr>
          <w:ilvl w:val="0"/>
          <w:numId w:val="7"/>
        </w:numPr>
        <w:rPr>
          <w:rFonts w:ascii="Century Gothic" w:hAnsi="Century Gothic"/>
          <w:b/>
        </w:rPr>
      </w:pPr>
      <w:r w:rsidRPr="004C5049">
        <w:rPr>
          <w:rFonts w:ascii="Century Gothic" w:hAnsi="Century Gothic"/>
          <w:b/>
        </w:rPr>
        <w:t>Principio de no discriminación</w:t>
      </w:r>
    </w:p>
    <w:p w:rsidR="00F238C4" w:rsidRPr="004C5049" w:rsidRDefault="00F238C4" w:rsidP="00F238C4">
      <w:pPr>
        <w:pStyle w:val="Sinespaciado"/>
        <w:rPr>
          <w:rFonts w:ascii="Century Gothic" w:hAnsi="Century Gothic"/>
        </w:rPr>
      </w:pPr>
    </w:p>
    <w:p w:rsidR="00F238C4" w:rsidRPr="004C5049" w:rsidRDefault="00F238C4" w:rsidP="00F238C4">
      <w:pPr>
        <w:pStyle w:val="Sinespaciado"/>
        <w:jc w:val="both"/>
        <w:rPr>
          <w:rFonts w:ascii="Century Gothic" w:hAnsi="Century Gothic"/>
        </w:rPr>
      </w:pPr>
      <w:r w:rsidRPr="004C5049">
        <w:rPr>
          <w:rFonts w:ascii="Century Gothic" w:hAnsi="Century Gothic"/>
        </w:rPr>
        <w:t>Vinculado a la garantía de la igualdad se halla el principio de no discriminación, establecido en el artículo 13 de la Constitución. Este principio es crucial para todos los Estados en la protección de garantías y derechos, siendo inseparable de la actuación estatal. La CIDH afirma que este principio es imperativo del derecho internacional general y se aplica a todo Estado, incluso si no es parte de un tratado internacional. El Estado no puede actuar en contra del principio de igualdad y no discriminación, según la CIDH.</w:t>
      </w:r>
    </w:p>
    <w:p w:rsidR="00F238C4" w:rsidRPr="004C5049" w:rsidRDefault="00F238C4" w:rsidP="00F238C4">
      <w:pPr>
        <w:pStyle w:val="Sinespaciado"/>
        <w:jc w:val="both"/>
        <w:rPr>
          <w:rFonts w:ascii="Century Gothic" w:hAnsi="Century Gothic"/>
        </w:rPr>
      </w:pPr>
    </w:p>
    <w:p w:rsidR="00F238C4" w:rsidRPr="004C5049" w:rsidRDefault="00F238C4" w:rsidP="00F238C4">
      <w:pPr>
        <w:pStyle w:val="Sinespaciado"/>
        <w:jc w:val="both"/>
        <w:rPr>
          <w:rFonts w:ascii="Century Gothic" w:hAnsi="Century Gothic"/>
        </w:rPr>
      </w:pPr>
      <w:r w:rsidRPr="004C5049">
        <w:rPr>
          <w:rFonts w:ascii="Century Gothic" w:hAnsi="Century Gothic"/>
        </w:rPr>
        <w:t xml:space="preserve">La Corte Interamericana de Derechos Humanos destaca la importancia y validez del principio de igualdad, considerándolo parte del </w:t>
      </w:r>
      <w:proofErr w:type="spellStart"/>
      <w:r w:rsidRPr="004C5049">
        <w:rPr>
          <w:rFonts w:ascii="Century Gothic" w:hAnsi="Century Gothic"/>
        </w:rPr>
        <w:t>ius</w:t>
      </w:r>
      <w:proofErr w:type="spellEnd"/>
      <w:r w:rsidRPr="004C5049">
        <w:rPr>
          <w:rFonts w:ascii="Century Gothic" w:hAnsi="Century Gothic"/>
        </w:rPr>
        <w:t xml:space="preserve"> </w:t>
      </w:r>
      <w:proofErr w:type="spellStart"/>
      <w:r w:rsidRPr="004C5049">
        <w:rPr>
          <w:rFonts w:ascii="Century Gothic" w:hAnsi="Century Gothic"/>
        </w:rPr>
        <w:t>cogens</w:t>
      </w:r>
      <w:proofErr w:type="spellEnd"/>
      <w:r w:rsidRPr="004C5049">
        <w:rPr>
          <w:rFonts w:ascii="Century Gothic" w:hAnsi="Century Gothic"/>
        </w:rPr>
        <w:t>, esencial para el orden público nacional e internacional. Este principio, junto con la justificación objetiva y razonable para tratos diferenciales a grupos vulnerables, completa el esquema de garantías derivadas del derecho a la igualdad y principio de no discriminación.</w:t>
      </w:r>
    </w:p>
    <w:p w:rsidR="00F238C4" w:rsidRPr="004C5049" w:rsidRDefault="00F238C4" w:rsidP="00F238C4">
      <w:pPr>
        <w:pStyle w:val="Sinespaciado"/>
        <w:jc w:val="both"/>
        <w:rPr>
          <w:rFonts w:ascii="Century Gothic" w:hAnsi="Century Gothic"/>
        </w:rPr>
      </w:pPr>
    </w:p>
    <w:p w:rsidR="00F238C4" w:rsidRPr="004C5049" w:rsidRDefault="00F238C4" w:rsidP="00F238C4">
      <w:pPr>
        <w:pStyle w:val="Sinespaciado"/>
        <w:jc w:val="both"/>
        <w:rPr>
          <w:rFonts w:ascii="Century Gothic" w:hAnsi="Century Gothic"/>
        </w:rPr>
      </w:pPr>
      <w:r w:rsidRPr="004C5049">
        <w:rPr>
          <w:rFonts w:ascii="Century Gothic" w:hAnsi="Century Gothic"/>
        </w:rPr>
        <w:t>La Corte Europea de Derechos Humanos sostiene que una distinción solo es discriminatoria si carece de justificación objetiva y razonable. La Corte Interamericana de Derechos Humanos también reconoce la discriminación indirecta, que se produce cuando normas aparentemente neutrales resultan en efectos negativos desproporcionados para ciertos grupos vulnerables. En este contexto, se destaca la importancia de evaluar cualquier trato desigual en base a justificaciones objetivas y razonables para evitar violaciones al principio de igualdad y no discriminación.</w:t>
      </w:r>
    </w:p>
    <w:p w:rsidR="00F238C4" w:rsidRPr="004C5049" w:rsidRDefault="00F238C4" w:rsidP="00F238C4">
      <w:pPr>
        <w:pStyle w:val="Sinespaciado"/>
        <w:jc w:val="both"/>
        <w:rPr>
          <w:rFonts w:ascii="Century Gothic" w:hAnsi="Century Gothic"/>
        </w:rPr>
      </w:pPr>
    </w:p>
    <w:p w:rsidR="00F238C4" w:rsidRPr="004C5049" w:rsidRDefault="00F238C4" w:rsidP="00F238C4">
      <w:pPr>
        <w:pStyle w:val="Sinespaciado"/>
        <w:jc w:val="both"/>
        <w:rPr>
          <w:rFonts w:ascii="Century Gothic" w:hAnsi="Century Gothic"/>
        </w:rPr>
      </w:pPr>
    </w:p>
    <w:p w:rsidR="00F238C4" w:rsidRPr="004C5049" w:rsidRDefault="00F238C4" w:rsidP="00495B2B">
      <w:pPr>
        <w:pStyle w:val="Sinespaciado"/>
        <w:numPr>
          <w:ilvl w:val="0"/>
          <w:numId w:val="7"/>
        </w:numPr>
        <w:jc w:val="both"/>
        <w:rPr>
          <w:rFonts w:ascii="Century Gothic" w:hAnsi="Century Gothic"/>
          <w:b/>
        </w:rPr>
      </w:pPr>
      <w:r w:rsidRPr="004C5049">
        <w:rPr>
          <w:rFonts w:ascii="Century Gothic" w:hAnsi="Century Gothic"/>
          <w:b/>
        </w:rPr>
        <w:t>Razonabilidad y proporcionalidad de los medios para el fin propuesto</w:t>
      </w:r>
    </w:p>
    <w:p w:rsidR="00F238C4" w:rsidRPr="004C5049" w:rsidRDefault="00F238C4" w:rsidP="00F238C4">
      <w:pPr>
        <w:jc w:val="both"/>
        <w:rPr>
          <w:rFonts w:ascii="Century Gothic" w:hAnsi="Century Gothic"/>
          <w:sz w:val="22"/>
          <w:szCs w:val="22"/>
        </w:rPr>
      </w:pPr>
      <w:r w:rsidRPr="004C5049">
        <w:rPr>
          <w:rFonts w:ascii="Century Gothic" w:hAnsi="Century Gothic"/>
          <w:sz w:val="22"/>
          <w:szCs w:val="22"/>
        </w:rPr>
        <w:t>Dado la imperiosa finalidad de generar igualdad material y aseverar tratos igualitarios a todos los colombianos, el juicio de proporcionalidad para este caso debe ser estricto. Siendo los fines la corrección de un trato desigual, que como consecuencia generaría que territorios históricamente relegados de actividad económica gocen del principal instrumento de planificación nacional. Por tanto, es conducente la inclusión planteada dado que corrige el trato desigualitario del actual artículo 286. Además, hacer partícipe a las comunidades negras de las rentas nacionales crearía mayor cobertura educativa, hospitalaria, entre otros servicios esenciales, son todos estos fines imperiosos por su consonancia con el fin último dispuesto en el artículo 13 de nuestra carta magna.</w:t>
      </w:r>
    </w:p>
    <w:p w:rsidR="00BE6A63" w:rsidRDefault="00F238C4" w:rsidP="00F238C4">
      <w:pPr>
        <w:jc w:val="both"/>
        <w:rPr>
          <w:rFonts w:ascii="Century Gothic" w:hAnsi="Century Gothic"/>
          <w:sz w:val="22"/>
          <w:szCs w:val="22"/>
        </w:rPr>
      </w:pPr>
      <w:r w:rsidRPr="004C5049">
        <w:rPr>
          <w:rFonts w:ascii="Century Gothic" w:hAnsi="Century Gothic"/>
          <w:sz w:val="22"/>
          <w:szCs w:val="22"/>
        </w:rPr>
        <w:t xml:space="preserve">Para mayor claridad de los honorables legisladores es necesario precisar que, a propósito del juicio proporcionalidad la corte constitucional ha señalado: “El juicio de proporcionalidad de intensidad estricta exige verificar, previamente, (i) persigue </w:t>
      </w:r>
    </w:p>
    <w:p w:rsidR="00BE6A63" w:rsidRDefault="00F974B0" w:rsidP="00F238C4">
      <w:pPr>
        <w:jc w:val="both"/>
        <w:rPr>
          <w:rFonts w:ascii="Century Gothic" w:hAnsi="Century Gothic"/>
          <w:sz w:val="22"/>
          <w:szCs w:val="22"/>
        </w:rPr>
      </w:pPr>
      <w:r w:rsidRPr="004C5049">
        <w:rPr>
          <w:rFonts w:ascii="Century Gothic" w:hAnsi="Century Gothic"/>
          <w:noProof/>
          <w:sz w:val="22"/>
          <w:szCs w:val="22"/>
        </w:rPr>
        <w:lastRenderedPageBreak/>
        <w:drawing>
          <wp:anchor distT="0" distB="0" distL="114300" distR="114300" simplePos="0" relativeHeight="251675648" behindDoc="1" locked="0" layoutInCell="1" allowOverlap="1" wp14:anchorId="70952EDC" wp14:editId="2633AB21">
            <wp:simplePos x="0" y="0"/>
            <wp:positionH relativeFrom="page">
              <wp:align>right</wp:align>
            </wp:positionH>
            <wp:positionV relativeFrom="paragraph">
              <wp:posOffset>-902335</wp:posOffset>
            </wp:positionV>
            <wp:extent cx="7764780" cy="10991152"/>
            <wp:effectExtent l="0" t="0" r="7620" b="127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64780" cy="10991152"/>
                    </a:xfrm>
                    <a:prstGeom prst="rect">
                      <a:avLst/>
                    </a:prstGeom>
                  </pic:spPr>
                </pic:pic>
              </a:graphicData>
            </a:graphic>
            <wp14:sizeRelH relativeFrom="page">
              <wp14:pctWidth>0</wp14:pctWidth>
            </wp14:sizeRelH>
            <wp14:sizeRelV relativeFrom="page">
              <wp14:pctHeight>0</wp14:pctHeight>
            </wp14:sizeRelV>
          </wp:anchor>
        </w:drawing>
      </w:r>
    </w:p>
    <w:p w:rsidR="00BE6A63" w:rsidRDefault="00BE6A63" w:rsidP="00F238C4">
      <w:pPr>
        <w:jc w:val="both"/>
        <w:rPr>
          <w:rFonts w:ascii="Century Gothic" w:hAnsi="Century Gothic"/>
          <w:sz w:val="22"/>
          <w:szCs w:val="22"/>
        </w:rPr>
      </w:pPr>
    </w:p>
    <w:p w:rsidR="00F238C4" w:rsidRPr="004C5049" w:rsidRDefault="00F238C4" w:rsidP="00F238C4">
      <w:pPr>
        <w:jc w:val="both"/>
        <w:rPr>
          <w:rFonts w:ascii="Century Gothic" w:hAnsi="Century Gothic"/>
          <w:sz w:val="22"/>
          <w:szCs w:val="22"/>
        </w:rPr>
      </w:pPr>
      <w:r w:rsidRPr="004C5049">
        <w:rPr>
          <w:rFonts w:ascii="Century Gothic" w:hAnsi="Century Gothic"/>
          <w:sz w:val="22"/>
          <w:szCs w:val="22"/>
        </w:rPr>
        <w:t>una finalidad constitucionalmente imperiosa, urgente o inaplazable. Una vez ello se establece, debe determinarse si tal medio resulta (ii) efectivamente conducente, (iii) necesario y (iv) proporcionado en sentido estricto. Se trata de una revisión rigurosa de la justificación de la medida juzgada y se aplica, entre otros casos, en aquellos en los que la medida supone el empleo de categorías sospechosas, afecta a grupos especialmente protegidos, o impacta el goce de un derecho constitucional fundamental” (C - 115, 2017)</w:t>
      </w:r>
    </w:p>
    <w:p w:rsidR="00495B2B" w:rsidRPr="004C5049" w:rsidRDefault="00F238C4" w:rsidP="00495B2B">
      <w:pPr>
        <w:jc w:val="both"/>
        <w:rPr>
          <w:rFonts w:ascii="Century Gothic" w:hAnsi="Century Gothic"/>
          <w:sz w:val="22"/>
          <w:szCs w:val="22"/>
        </w:rPr>
      </w:pPr>
      <w:r w:rsidRPr="004C5049">
        <w:rPr>
          <w:rFonts w:ascii="Century Gothic" w:hAnsi="Century Gothic"/>
          <w:sz w:val="22"/>
          <w:szCs w:val="22"/>
        </w:rPr>
        <w:t>Teniendo en cuenta que el territorio es la base de la construcción de la autonomía y autodeterminación del pueblo afrocolombiano, el espacio en el que se crea y recrea su identidad cultural en lo rural y por medio de la extensión de la territorialidad resignan también lo urbano, el cual requiere de condiciones materiales y espirituales acordes con la cosmovisión de esta comunidad étnica, es imperioso para la democracia colombiana el reconocimiento del derecho constitucional de las comunidades negras a administrar sus territorios ancestrales.</w:t>
      </w:r>
    </w:p>
    <w:p w:rsidR="00F238C4" w:rsidRPr="004C5049" w:rsidRDefault="00F238C4" w:rsidP="00F238C4">
      <w:pPr>
        <w:pStyle w:val="Prrafodelista"/>
        <w:numPr>
          <w:ilvl w:val="0"/>
          <w:numId w:val="2"/>
        </w:numPr>
        <w:rPr>
          <w:rFonts w:ascii="Century Gothic" w:hAnsi="Century Gothic"/>
          <w:sz w:val="22"/>
          <w:szCs w:val="22"/>
        </w:rPr>
      </w:pPr>
      <w:r w:rsidRPr="004C5049">
        <w:rPr>
          <w:rFonts w:ascii="Century Gothic" w:eastAsia="Calibri" w:hAnsi="Century Gothic"/>
          <w:b/>
          <w:sz w:val="22"/>
          <w:szCs w:val="22"/>
        </w:rPr>
        <w:t xml:space="preserve">CONTENIDO DEL PROYECTO </w:t>
      </w:r>
    </w:p>
    <w:p w:rsidR="00F238C4" w:rsidRPr="004C5049" w:rsidRDefault="00F238C4" w:rsidP="00F238C4">
      <w:pPr>
        <w:rPr>
          <w:rFonts w:ascii="Century Gothic" w:hAnsi="Century Gothic"/>
          <w:sz w:val="22"/>
          <w:szCs w:val="22"/>
        </w:rPr>
      </w:pPr>
      <w:r w:rsidRPr="004C5049">
        <w:rPr>
          <w:rFonts w:ascii="Century Gothic" w:hAnsi="Century Gothic"/>
          <w:sz w:val="22"/>
          <w:szCs w:val="22"/>
        </w:rPr>
        <w:t>El presente proyecto consta de 3 artículos así:</w:t>
      </w:r>
    </w:p>
    <w:p w:rsidR="00F238C4" w:rsidRPr="004C5049" w:rsidRDefault="00F238C4" w:rsidP="00BE6A63">
      <w:pPr>
        <w:jc w:val="both"/>
        <w:rPr>
          <w:rFonts w:ascii="Century Gothic" w:hAnsi="Century Gothic" w:cstheme="minorHAnsi"/>
          <w:b/>
          <w:bCs/>
          <w:sz w:val="22"/>
          <w:szCs w:val="22"/>
          <w:u w:val="single"/>
          <w:lang w:val="es-ES"/>
        </w:rPr>
      </w:pPr>
      <w:r w:rsidRPr="004C5049">
        <w:rPr>
          <w:rFonts w:ascii="Century Gothic" w:hAnsi="Century Gothic"/>
          <w:sz w:val="22"/>
          <w:szCs w:val="22"/>
        </w:rPr>
        <w:t xml:space="preserve">Artículo 1: Modifica el </w:t>
      </w:r>
      <w:r w:rsidR="00495B2B" w:rsidRPr="004C5049">
        <w:rPr>
          <w:rFonts w:ascii="Century Gothic" w:hAnsi="Century Gothic"/>
          <w:sz w:val="22"/>
          <w:szCs w:val="22"/>
        </w:rPr>
        <w:t xml:space="preserve">artículo 286 de la Constitución agregando la expresión </w:t>
      </w:r>
      <w:r w:rsidR="00495B2B" w:rsidRPr="004C5049">
        <w:rPr>
          <w:rFonts w:ascii="Century Gothic" w:hAnsi="Century Gothic"/>
          <w:b/>
          <w:bCs/>
          <w:sz w:val="22"/>
          <w:szCs w:val="22"/>
          <w:u w:val="single"/>
          <w:lang w:val="es-ES"/>
        </w:rPr>
        <w:t>y los territorios de comunidades negras</w:t>
      </w:r>
      <w:r w:rsidR="00495B2B" w:rsidRPr="004C5049">
        <w:rPr>
          <w:rFonts w:ascii="Century Gothic" w:hAnsi="Century Gothic" w:cstheme="minorHAnsi"/>
          <w:b/>
          <w:bCs/>
          <w:sz w:val="22"/>
          <w:szCs w:val="22"/>
          <w:u w:val="single"/>
          <w:lang w:val="es-ES"/>
        </w:rPr>
        <w:t>.</w:t>
      </w:r>
    </w:p>
    <w:p w:rsidR="00495B2B" w:rsidRPr="004C5049" w:rsidRDefault="00495B2B" w:rsidP="00BE6A63">
      <w:pPr>
        <w:jc w:val="both"/>
        <w:rPr>
          <w:rFonts w:ascii="Century Gothic" w:hAnsi="Century Gothic" w:cs="Calibri Light"/>
          <w:color w:val="000000"/>
          <w:sz w:val="22"/>
          <w:szCs w:val="22"/>
          <w:shd w:val="clear" w:color="auto" w:fill="FFFFFF"/>
        </w:rPr>
      </w:pPr>
      <w:r w:rsidRPr="004C5049">
        <w:rPr>
          <w:rFonts w:ascii="Century Gothic" w:hAnsi="Century Gothic"/>
          <w:sz w:val="22"/>
          <w:szCs w:val="22"/>
        </w:rPr>
        <w:t xml:space="preserve">Artículo 2: Modifica el artículo 356 de la Constitución agregando la expresión </w:t>
      </w:r>
      <w:r w:rsidRPr="004C5049">
        <w:rPr>
          <w:rFonts w:ascii="Century Gothic" w:hAnsi="Century Gothic"/>
          <w:b/>
          <w:bCs/>
          <w:sz w:val="22"/>
          <w:szCs w:val="22"/>
          <w:u w:val="single"/>
          <w:lang w:val="es-ES"/>
        </w:rPr>
        <w:t xml:space="preserve">y los territorios de comunidades negras </w:t>
      </w:r>
      <w:r w:rsidRPr="004C5049">
        <w:rPr>
          <w:rFonts w:ascii="Century Gothic" w:hAnsi="Century Gothic"/>
          <w:b/>
          <w:sz w:val="22"/>
          <w:szCs w:val="22"/>
          <w:u w:val="single"/>
          <w:lang w:val="es-ES"/>
        </w:rPr>
        <w:t>y a</w:t>
      </w:r>
      <w:r w:rsidRPr="004C5049">
        <w:rPr>
          <w:rFonts w:ascii="Century Gothic" w:hAnsi="Century Gothic"/>
          <w:b/>
          <w:sz w:val="22"/>
          <w:szCs w:val="22"/>
          <w:u w:val="single"/>
        </w:rPr>
        <w:t xml:space="preserve"> los Consejos Comunitarios de las Comunidades Negras</w:t>
      </w:r>
      <w:r w:rsidRPr="004C5049">
        <w:rPr>
          <w:rFonts w:ascii="Century Gothic" w:hAnsi="Century Gothic" w:cs="Calibri Light"/>
          <w:color w:val="000000"/>
          <w:sz w:val="22"/>
          <w:szCs w:val="22"/>
          <w:shd w:val="clear" w:color="auto" w:fill="FFFFFF"/>
        </w:rPr>
        <w:t>.</w:t>
      </w:r>
    </w:p>
    <w:p w:rsidR="00495B2B" w:rsidRPr="004C5049" w:rsidRDefault="00495B2B" w:rsidP="00F238C4">
      <w:pPr>
        <w:rPr>
          <w:rFonts w:ascii="Century Gothic" w:hAnsi="Century Gothic"/>
          <w:sz w:val="22"/>
          <w:szCs w:val="22"/>
        </w:rPr>
      </w:pPr>
      <w:r w:rsidRPr="004C5049">
        <w:rPr>
          <w:rFonts w:ascii="Century Gothic" w:hAnsi="Century Gothic" w:cs="Calibri Light"/>
          <w:color w:val="000000"/>
          <w:sz w:val="22"/>
          <w:szCs w:val="22"/>
          <w:shd w:val="clear" w:color="auto" w:fill="FFFFFF"/>
        </w:rPr>
        <w:t xml:space="preserve">Artículo 3: vigencia. </w:t>
      </w:r>
    </w:p>
    <w:p w:rsidR="00BE6A63" w:rsidRDefault="00BE6A63" w:rsidP="00BE6A63">
      <w:pPr>
        <w:pStyle w:val="Prrafodelista1"/>
        <w:ind w:left="720"/>
        <w:jc w:val="both"/>
        <w:rPr>
          <w:rFonts w:ascii="Century Gothic" w:hAnsi="Century Gothic"/>
          <w:b/>
          <w:color w:val="000000"/>
          <w:sz w:val="22"/>
          <w:szCs w:val="22"/>
        </w:rPr>
      </w:pPr>
    </w:p>
    <w:p w:rsidR="00F238C4" w:rsidRPr="004C5049" w:rsidRDefault="00F238C4" w:rsidP="00F238C4">
      <w:pPr>
        <w:pStyle w:val="Prrafodelista1"/>
        <w:numPr>
          <w:ilvl w:val="0"/>
          <w:numId w:val="2"/>
        </w:numPr>
        <w:jc w:val="both"/>
        <w:rPr>
          <w:rFonts w:ascii="Century Gothic" w:hAnsi="Century Gothic"/>
          <w:b/>
          <w:color w:val="000000"/>
          <w:sz w:val="22"/>
          <w:szCs w:val="22"/>
        </w:rPr>
      </w:pPr>
      <w:r w:rsidRPr="004C5049">
        <w:rPr>
          <w:rFonts w:ascii="Century Gothic" w:hAnsi="Century Gothic"/>
          <w:b/>
          <w:color w:val="000000"/>
          <w:sz w:val="22"/>
          <w:szCs w:val="22"/>
        </w:rPr>
        <w:t xml:space="preserve">IMPACTO FISCAL </w:t>
      </w:r>
    </w:p>
    <w:p w:rsidR="00F238C4" w:rsidRDefault="00F238C4" w:rsidP="00F238C4">
      <w:pPr>
        <w:jc w:val="both"/>
        <w:rPr>
          <w:rFonts w:ascii="Century Gothic" w:hAnsi="Century Gothic"/>
          <w:sz w:val="22"/>
          <w:szCs w:val="22"/>
        </w:rPr>
      </w:pPr>
      <w:r w:rsidRPr="004C5049">
        <w:rPr>
          <w:rFonts w:ascii="Century Gothic" w:hAnsi="Century Gothic"/>
          <w:sz w:val="22"/>
          <w:szCs w:val="22"/>
        </w:rPr>
        <w:t>La aprobación del presente proyecto de acto legislativo por parte del congreso de la República no genera ningún impacto fiscal, pues se trata del reconocimiento de un derecho que ha estado ausente en el ordenamiento jurídico colombiano, lo cual no afecta el presupuesto general de la nación, ni el marco fiscal de mediano plazo ni la regla fiscal, pues no ordena ningún gasto ni genera cambio fiscal alguno.</w:t>
      </w:r>
    </w:p>
    <w:p w:rsidR="00BE6A63" w:rsidRPr="004C5049" w:rsidRDefault="00BE6A63" w:rsidP="00F238C4">
      <w:pPr>
        <w:jc w:val="both"/>
        <w:rPr>
          <w:rFonts w:ascii="Century Gothic" w:hAnsi="Century Gothic"/>
          <w:sz w:val="22"/>
          <w:szCs w:val="22"/>
        </w:rPr>
      </w:pPr>
    </w:p>
    <w:p w:rsidR="00F238C4" w:rsidRDefault="00F238C4" w:rsidP="00F238C4">
      <w:pPr>
        <w:pStyle w:val="Prrafodelista1"/>
        <w:jc w:val="both"/>
        <w:rPr>
          <w:rFonts w:ascii="Century Gothic" w:hAnsi="Century Gothic"/>
          <w:b/>
          <w:color w:val="000000"/>
          <w:sz w:val="22"/>
          <w:szCs w:val="22"/>
        </w:rPr>
      </w:pPr>
    </w:p>
    <w:p w:rsidR="00BE6A63" w:rsidRDefault="00BE6A63" w:rsidP="00F238C4">
      <w:pPr>
        <w:pStyle w:val="Prrafodelista1"/>
        <w:jc w:val="both"/>
        <w:rPr>
          <w:rFonts w:ascii="Century Gothic" w:hAnsi="Century Gothic"/>
          <w:b/>
          <w:color w:val="000000"/>
          <w:sz w:val="22"/>
          <w:szCs w:val="22"/>
        </w:rPr>
      </w:pPr>
      <w:r w:rsidRPr="004C5049">
        <w:rPr>
          <w:rFonts w:ascii="Century Gothic" w:hAnsi="Century Gothic"/>
          <w:noProof/>
          <w:sz w:val="22"/>
          <w:szCs w:val="22"/>
        </w:rPr>
        <w:lastRenderedPageBreak/>
        <w:drawing>
          <wp:anchor distT="0" distB="0" distL="114300" distR="114300" simplePos="0" relativeHeight="251677696" behindDoc="1" locked="0" layoutInCell="1" allowOverlap="1" wp14:anchorId="1B0AF698" wp14:editId="0EA2F878">
            <wp:simplePos x="0" y="0"/>
            <wp:positionH relativeFrom="page">
              <wp:align>right</wp:align>
            </wp:positionH>
            <wp:positionV relativeFrom="paragraph">
              <wp:posOffset>-890270</wp:posOffset>
            </wp:positionV>
            <wp:extent cx="7764780" cy="10991152"/>
            <wp:effectExtent l="0" t="0" r="7620" b="127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64780" cy="10991152"/>
                    </a:xfrm>
                    <a:prstGeom prst="rect">
                      <a:avLst/>
                    </a:prstGeom>
                  </pic:spPr>
                </pic:pic>
              </a:graphicData>
            </a:graphic>
            <wp14:sizeRelH relativeFrom="page">
              <wp14:pctWidth>0</wp14:pctWidth>
            </wp14:sizeRelH>
            <wp14:sizeRelV relativeFrom="page">
              <wp14:pctHeight>0</wp14:pctHeight>
            </wp14:sizeRelV>
          </wp:anchor>
        </w:drawing>
      </w:r>
    </w:p>
    <w:p w:rsidR="00BE6A63" w:rsidRDefault="00BE6A63" w:rsidP="00F238C4">
      <w:pPr>
        <w:pStyle w:val="Prrafodelista1"/>
        <w:jc w:val="both"/>
        <w:rPr>
          <w:rFonts w:ascii="Century Gothic" w:hAnsi="Century Gothic"/>
          <w:b/>
          <w:color w:val="000000"/>
          <w:sz w:val="22"/>
          <w:szCs w:val="22"/>
        </w:rPr>
      </w:pPr>
    </w:p>
    <w:p w:rsidR="00BE6A63" w:rsidRPr="004C5049" w:rsidRDefault="00BE6A63" w:rsidP="00F238C4">
      <w:pPr>
        <w:pStyle w:val="Prrafodelista1"/>
        <w:jc w:val="both"/>
        <w:rPr>
          <w:rFonts w:ascii="Century Gothic" w:hAnsi="Century Gothic"/>
          <w:b/>
          <w:color w:val="000000"/>
          <w:sz w:val="22"/>
          <w:szCs w:val="22"/>
        </w:rPr>
      </w:pPr>
    </w:p>
    <w:p w:rsidR="00BE6A63" w:rsidRDefault="00BE6A63" w:rsidP="00BE6A63">
      <w:pPr>
        <w:pStyle w:val="Prrafodelista1"/>
        <w:ind w:left="720"/>
        <w:jc w:val="both"/>
        <w:rPr>
          <w:rFonts w:ascii="Century Gothic" w:hAnsi="Century Gothic"/>
          <w:b/>
          <w:sz w:val="22"/>
          <w:szCs w:val="22"/>
        </w:rPr>
      </w:pPr>
    </w:p>
    <w:p w:rsidR="00F238C4" w:rsidRDefault="00F238C4" w:rsidP="00F238C4">
      <w:pPr>
        <w:pStyle w:val="Prrafodelista1"/>
        <w:numPr>
          <w:ilvl w:val="0"/>
          <w:numId w:val="2"/>
        </w:numPr>
        <w:jc w:val="both"/>
        <w:rPr>
          <w:rFonts w:ascii="Century Gothic" w:hAnsi="Century Gothic"/>
          <w:b/>
          <w:sz w:val="22"/>
          <w:szCs w:val="22"/>
        </w:rPr>
      </w:pPr>
      <w:r w:rsidRPr="004C5049">
        <w:rPr>
          <w:rFonts w:ascii="Century Gothic" w:hAnsi="Century Gothic"/>
          <w:b/>
          <w:sz w:val="22"/>
          <w:szCs w:val="22"/>
        </w:rPr>
        <w:t>CONFLICTO DE INTERESES</w:t>
      </w:r>
    </w:p>
    <w:p w:rsidR="00BE6A63" w:rsidRPr="004C5049" w:rsidRDefault="00BE6A63" w:rsidP="00BE6A63">
      <w:pPr>
        <w:pStyle w:val="Prrafodelista1"/>
        <w:ind w:left="720"/>
        <w:jc w:val="both"/>
        <w:rPr>
          <w:rFonts w:ascii="Century Gothic" w:hAnsi="Century Gothic"/>
          <w:b/>
          <w:sz w:val="22"/>
          <w:szCs w:val="22"/>
        </w:rPr>
      </w:pPr>
    </w:p>
    <w:p w:rsidR="00495B2B" w:rsidRDefault="00495B2B" w:rsidP="00495B2B">
      <w:pPr>
        <w:jc w:val="both"/>
        <w:rPr>
          <w:rFonts w:ascii="Century Gothic" w:hAnsi="Century Gothic"/>
          <w:sz w:val="22"/>
          <w:szCs w:val="22"/>
        </w:rPr>
      </w:pPr>
      <w:r w:rsidRPr="004C5049">
        <w:rPr>
          <w:rFonts w:ascii="Century Gothic" w:hAnsi="Century Gothic"/>
          <w:sz w:val="22"/>
          <w:szCs w:val="22"/>
        </w:rPr>
        <w:t>De acuerdo con lo establecido en el artículo 3° de la Ley 2003 del 19 de noviembre de 2019, por la cual se modifica parcialmente la Ley 5a de 1992 y se dictan otras disposiciones, que modifica el artículo 291 de la Ley 5a de 1992, en la que se estableció que el autor del proyecto y el ponente presentarán en la exposición de motivos un acápite que describa las circunstancias o eventos que podrán generar un conflicto de interés para la discusión y votación del proyecto, me permito precisar que el presente proyecto de acto legislativo no genera conflictos de interés ni para su autor ni los ponentes, en atención a que se trata de un proyecto que no genera un beneficio particular, actual y directo a los Congresistas, de conformidad con lo establecido en el artículo 1° de la Ley 2003 de 19 de noviembre de 2019; sino que, por el contrario, se trata de la inclusión de un derecho de las comunidades negras en la constitución, adicionando la expresión y “y de comunidades negras”. Es decir que se trata de modificar una norma general, por tanto, el beneficio no puede ser particular.</w:t>
      </w:r>
    </w:p>
    <w:p w:rsidR="00495B2B" w:rsidRPr="004C5049" w:rsidRDefault="00495B2B" w:rsidP="00495B2B">
      <w:pPr>
        <w:pStyle w:val="Sinespaciado"/>
        <w:jc w:val="both"/>
        <w:rPr>
          <w:rFonts w:ascii="Century Gothic" w:hAnsi="Century Gothic"/>
        </w:rPr>
      </w:pPr>
      <w:r w:rsidRPr="004C5049">
        <w:rPr>
          <w:rFonts w:ascii="Century Gothic" w:hAnsi="Century Gothic"/>
        </w:rPr>
        <w:t>Al respecto el Consejo de Estado ha precisado que “No cualquier interés configura la causal de desinvestidura en comento, pues se sabe que solo lo será aquel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rsidR="00BE6A63" w:rsidRPr="00BE6A63" w:rsidRDefault="00BE6A63" w:rsidP="00BE6A63">
      <w:pPr>
        <w:pStyle w:val="Prrafodelista"/>
        <w:rPr>
          <w:rFonts w:ascii="Century Gothic" w:hAnsi="Century Gothic"/>
          <w:sz w:val="22"/>
          <w:szCs w:val="22"/>
        </w:rPr>
      </w:pPr>
    </w:p>
    <w:p w:rsidR="00F238C4" w:rsidRPr="004C5049" w:rsidRDefault="00F238C4" w:rsidP="00F238C4">
      <w:pPr>
        <w:pStyle w:val="Prrafodelista"/>
        <w:numPr>
          <w:ilvl w:val="0"/>
          <w:numId w:val="2"/>
        </w:numPr>
        <w:rPr>
          <w:rFonts w:ascii="Century Gothic" w:hAnsi="Century Gothic"/>
          <w:sz w:val="22"/>
          <w:szCs w:val="22"/>
        </w:rPr>
      </w:pPr>
      <w:r w:rsidRPr="004C5049">
        <w:rPr>
          <w:rFonts w:ascii="Century Gothic" w:hAnsi="Century Gothic"/>
          <w:b/>
          <w:color w:val="000000"/>
          <w:sz w:val="22"/>
          <w:szCs w:val="22"/>
        </w:rPr>
        <w:t>PLIEGO DE MODIFICACIONES</w:t>
      </w:r>
    </w:p>
    <w:p w:rsidR="00495B2B" w:rsidRPr="006150E1" w:rsidRDefault="00BA02E7" w:rsidP="00495B2B">
      <w:pPr>
        <w:jc w:val="both"/>
        <w:rPr>
          <w:rFonts w:ascii="Century Gothic" w:hAnsi="Century Gothic"/>
          <w:b/>
          <w:bCs/>
          <w:sz w:val="22"/>
          <w:szCs w:val="22"/>
          <w:lang w:val="es-ES"/>
        </w:rPr>
      </w:pPr>
      <w:r>
        <w:rPr>
          <w:rFonts w:ascii="Century Gothic" w:eastAsia="Calibri" w:hAnsi="Century Gothic"/>
          <w:sz w:val="22"/>
          <w:szCs w:val="22"/>
        </w:rPr>
        <w:t>Acorde a lo expuesto anteriormente, el título del proyecto se modifica</w:t>
      </w:r>
      <w:r w:rsidR="006150E1">
        <w:rPr>
          <w:rFonts w:ascii="Century Gothic" w:eastAsia="Calibri" w:hAnsi="Century Gothic"/>
          <w:sz w:val="22"/>
          <w:szCs w:val="22"/>
        </w:rPr>
        <w:t xml:space="preserve"> incluyendo la frase; </w:t>
      </w:r>
      <w:r w:rsidR="006150E1" w:rsidRPr="006150E1">
        <w:rPr>
          <w:rFonts w:ascii="Century Gothic" w:eastAsia="Calibri" w:hAnsi="Century Gothic"/>
          <w:b/>
          <w:sz w:val="22"/>
          <w:szCs w:val="22"/>
          <w:u w:val="single"/>
        </w:rPr>
        <w:t>afrocolombiana, raizales y palenqueras</w:t>
      </w:r>
      <w:r>
        <w:rPr>
          <w:rFonts w:ascii="Century Gothic" w:eastAsia="Calibri" w:hAnsi="Century Gothic"/>
          <w:sz w:val="22"/>
          <w:szCs w:val="22"/>
        </w:rPr>
        <w:t xml:space="preserve"> así: </w:t>
      </w:r>
      <w:r w:rsidR="00495B2B" w:rsidRPr="006150E1">
        <w:rPr>
          <w:rFonts w:ascii="Century Gothic" w:eastAsia="Calibri" w:hAnsi="Century Gothic"/>
          <w:b/>
          <w:sz w:val="22"/>
          <w:szCs w:val="22"/>
        </w:rPr>
        <w:t xml:space="preserve">Proyecto de Acto Legislativo No. 375 de 2024 </w:t>
      </w:r>
      <w:r w:rsidR="00495B2B" w:rsidRPr="006150E1">
        <w:rPr>
          <w:rFonts w:ascii="Century Gothic" w:hAnsi="Century Gothic"/>
          <w:b/>
          <w:bCs/>
          <w:sz w:val="22"/>
          <w:szCs w:val="22"/>
          <w:lang w:val="es-ES"/>
        </w:rPr>
        <w:t>“Por medio del cual se modifica el artículo 286y el artículo 356 de la Constitución Política de Colombia y se incluyen las comunidades negras</w:t>
      </w:r>
      <w:r w:rsidR="006150E1">
        <w:rPr>
          <w:rFonts w:ascii="Century Gothic" w:hAnsi="Century Gothic"/>
          <w:b/>
          <w:bCs/>
          <w:sz w:val="22"/>
          <w:szCs w:val="22"/>
          <w:lang w:val="es-ES"/>
        </w:rPr>
        <w:t>,</w:t>
      </w:r>
      <w:r w:rsidR="006150E1" w:rsidRPr="006150E1">
        <w:rPr>
          <w:rFonts w:ascii="Century Gothic" w:eastAsia="Calibri" w:hAnsi="Century Gothic"/>
          <w:b/>
          <w:sz w:val="22"/>
          <w:szCs w:val="22"/>
          <w:u w:val="single"/>
        </w:rPr>
        <w:t xml:space="preserve"> </w:t>
      </w:r>
      <w:r w:rsidR="006150E1" w:rsidRPr="006150E1">
        <w:rPr>
          <w:rFonts w:ascii="Century Gothic" w:eastAsia="Calibri" w:hAnsi="Century Gothic"/>
          <w:b/>
          <w:sz w:val="22"/>
          <w:szCs w:val="22"/>
        </w:rPr>
        <w:t>afrocolombianas, raizales y palenqueras</w:t>
      </w:r>
      <w:r w:rsidR="00495B2B" w:rsidRPr="006150E1">
        <w:rPr>
          <w:rFonts w:ascii="Century Gothic" w:hAnsi="Century Gothic"/>
          <w:b/>
          <w:bCs/>
          <w:sz w:val="22"/>
          <w:szCs w:val="22"/>
          <w:lang w:val="es-ES"/>
        </w:rPr>
        <w:t xml:space="preserve"> en la organización territorial del Estado”</w:t>
      </w:r>
    </w:p>
    <w:p w:rsidR="00495B2B" w:rsidRDefault="00495B2B" w:rsidP="00F238C4">
      <w:pPr>
        <w:jc w:val="both"/>
        <w:rPr>
          <w:rFonts w:ascii="Century Gothic" w:eastAsia="Calibri" w:hAnsi="Century Gothic"/>
          <w:color w:val="FF0000"/>
          <w:sz w:val="22"/>
          <w:szCs w:val="22"/>
        </w:rPr>
      </w:pPr>
    </w:p>
    <w:p w:rsidR="00BE6A63" w:rsidRDefault="00BE6A63" w:rsidP="00F238C4">
      <w:pPr>
        <w:jc w:val="both"/>
        <w:rPr>
          <w:rFonts w:ascii="Century Gothic" w:eastAsia="Calibri" w:hAnsi="Century Gothic"/>
          <w:color w:val="FF0000"/>
          <w:sz w:val="22"/>
          <w:szCs w:val="22"/>
        </w:rPr>
      </w:pPr>
    </w:p>
    <w:p w:rsidR="00BE6A63" w:rsidRPr="004C5049" w:rsidRDefault="00BE6A63" w:rsidP="00F238C4">
      <w:pPr>
        <w:jc w:val="both"/>
        <w:rPr>
          <w:rFonts w:ascii="Century Gothic" w:eastAsia="Calibri" w:hAnsi="Century Gothic"/>
          <w:color w:val="FF0000"/>
          <w:sz w:val="22"/>
          <w:szCs w:val="22"/>
        </w:rPr>
      </w:pPr>
      <w:r w:rsidRPr="004C5049">
        <w:rPr>
          <w:rFonts w:ascii="Century Gothic" w:hAnsi="Century Gothic"/>
          <w:noProof/>
          <w:sz w:val="22"/>
          <w:szCs w:val="22"/>
        </w:rPr>
        <w:lastRenderedPageBreak/>
        <w:drawing>
          <wp:anchor distT="0" distB="0" distL="114300" distR="114300" simplePos="0" relativeHeight="251679744" behindDoc="1" locked="0" layoutInCell="1" allowOverlap="1" wp14:anchorId="659C1A1F" wp14:editId="30A3131F">
            <wp:simplePos x="0" y="0"/>
            <wp:positionH relativeFrom="page">
              <wp:align>left</wp:align>
            </wp:positionH>
            <wp:positionV relativeFrom="paragraph">
              <wp:posOffset>-895350</wp:posOffset>
            </wp:positionV>
            <wp:extent cx="7764780" cy="10991152"/>
            <wp:effectExtent l="0" t="0" r="7620" b="127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64780" cy="10991152"/>
                    </a:xfrm>
                    <a:prstGeom prst="rect">
                      <a:avLst/>
                    </a:prstGeom>
                  </pic:spPr>
                </pic:pic>
              </a:graphicData>
            </a:graphic>
            <wp14:sizeRelH relativeFrom="page">
              <wp14:pctWidth>0</wp14:pctWidth>
            </wp14:sizeRelH>
            <wp14:sizeRelV relativeFrom="page">
              <wp14:pctHeight>0</wp14:pctHeight>
            </wp14:sizeRelV>
          </wp:anchor>
        </w:drawing>
      </w:r>
    </w:p>
    <w:p w:rsidR="00BE6A63" w:rsidRDefault="00BE6A63" w:rsidP="00BE6A63">
      <w:pPr>
        <w:pStyle w:val="Prrafodelista1"/>
        <w:widowControl w:val="0"/>
        <w:autoSpaceDE w:val="0"/>
        <w:autoSpaceDN w:val="0"/>
        <w:ind w:left="360"/>
        <w:rPr>
          <w:rFonts w:ascii="Century Gothic" w:eastAsia="Calibri" w:hAnsi="Century Gothic"/>
          <w:b/>
          <w:sz w:val="22"/>
          <w:szCs w:val="22"/>
        </w:rPr>
      </w:pPr>
    </w:p>
    <w:p w:rsidR="00BE6A63" w:rsidRDefault="00BE6A63" w:rsidP="00BE6A63">
      <w:pPr>
        <w:pStyle w:val="Prrafodelista1"/>
        <w:widowControl w:val="0"/>
        <w:autoSpaceDE w:val="0"/>
        <w:autoSpaceDN w:val="0"/>
        <w:ind w:left="720"/>
        <w:rPr>
          <w:rFonts w:ascii="Century Gothic" w:eastAsia="Calibri" w:hAnsi="Century Gothic"/>
          <w:b/>
          <w:sz w:val="22"/>
          <w:szCs w:val="22"/>
        </w:rPr>
      </w:pPr>
    </w:p>
    <w:p w:rsidR="00BE6A63" w:rsidRDefault="00BE6A63" w:rsidP="00BE6A63">
      <w:pPr>
        <w:pStyle w:val="Prrafodelista1"/>
        <w:widowControl w:val="0"/>
        <w:autoSpaceDE w:val="0"/>
        <w:autoSpaceDN w:val="0"/>
        <w:ind w:left="720"/>
        <w:rPr>
          <w:rFonts w:ascii="Century Gothic" w:eastAsia="Calibri" w:hAnsi="Century Gothic"/>
          <w:b/>
          <w:sz w:val="22"/>
          <w:szCs w:val="22"/>
        </w:rPr>
      </w:pPr>
    </w:p>
    <w:p w:rsidR="00F238C4" w:rsidRPr="004C5049" w:rsidRDefault="00F238C4" w:rsidP="00F238C4">
      <w:pPr>
        <w:pStyle w:val="Prrafodelista1"/>
        <w:widowControl w:val="0"/>
        <w:numPr>
          <w:ilvl w:val="0"/>
          <w:numId w:val="2"/>
        </w:numPr>
        <w:autoSpaceDE w:val="0"/>
        <w:autoSpaceDN w:val="0"/>
        <w:rPr>
          <w:rFonts w:ascii="Century Gothic" w:eastAsia="Calibri" w:hAnsi="Century Gothic"/>
          <w:b/>
          <w:sz w:val="22"/>
          <w:szCs w:val="22"/>
        </w:rPr>
      </w:pPr>
      <w:r w:rsidRPr="004C5049">
        <w:rPr>
          <w:rFonts w:ascii="Century Gothic" w:eastAsia="Calibri" w:hAnsi="Century Gothic"/>
          <w:b/>
          <w:sz w:val="22"/>
          <w:szCs w:val="22"/>
        </w:rPr>
        <w:t>PROPOSICIÓN</w:t>
      </w:r>
    </w:p>
    <w:p w:rsidR="00F238C4" w:rsidRPr="004C5049" w:rsidRDefault="00F238C4" w:rsidP="00495B2B">
      <w:pPr>
        <w:jc w:val="both"/>
        <w:rPr>
          <w:rFonts w:ascii="Century Gothic" w:eastAsia="Calibri" w:hAnsi="Century Gothic"/>
          <w:b/>
          <w:sz w:val="22"/>
          <w:szCs w:val="22"/>
        </w:rPr>
      </w:pPr>
      <w:r w:rsidRPr="004C5049">
        <w:rPr>
          <w:rFonts w:ascii="Century Gothic" w:eastAsia="Calibri" w:hAnsi="Century Gothic"/>
          <w:bCs/>
          <w:sz w:val="22"/>
          <w:szCs w:val="22"/>
        </w:rPr>
        <w:t xml:space="preserve">En virtud de las consideraciones anteriormente expuestas, solicitamos a la </w:t>
      </w:r>
      <w:r w:rsidR="00495B2B" w:rsidRPr="004C5049">
        <w:rPr>
          <w:rFonts w:ascii="Century Gothic" w:eastAsia="Calibri" w:hAnsi="Century Gothic"/>
          <w:bCs/>
          <w:sz w:val="22"/>
          <w:szCs w:val="22"/>
        </w:rPr>
        <w:t xml:space="preserve">Honorable Comisión Primera de la Cámara Representantes </w:t>
      </w:r>
      <w:r w:rsidRPr="004C5049">
        <w:rPr>
          <w:rFonts w:ascii="Century Gothic" w:eastAsia="Calibri" w:hAnsi="Century Gothic"/>
          <w:bCs/>
          <w:sz w:val="22"/>
          <w:szCs w:val="22"/>
        </w:rPr>
        <w:t>dar primer debate al Proyecto de</w:t>
      </w:r>
      <w:r w:rsidR="00495B2B" w:rsidRPr="004C5049">
        <w:rPr>
          <w:rFonts w:ascii="Century Gothic" w:eastAsia="Calibri" w:hAnsi="Century Gothic"/>
          <w:bCs/>
          <w:sz w:val="22"/>
          <w:szCs w:val="22"/>
        </w:rPr>
        <w:t xml:space="preserve"> Acto Legislativo No. 375 de 2024 </w:t>
      </w:r>
      <w:r w:rsidR="00495B2B" w:rsidRPr="004C5049">
        <w:rPr>
          <w:rFonts w:ascii="Century Gothic" w:hAnsi="Century Gothic"/>
          <w:bCs/>
          <w:sz w:val="22"/>
          <w:szCs w:val="22"/>
          <w:lang w:val="es-ES"/>
        </w:rPr>
        <w:t>“Por medio del cual se modifica el artículo 286y el artículo 356 de la Constitución Política de Colombia y se incluyen las comunidades negras en la organización territorial del Estado”</w:t>
      </w:r>
      <w:r w:rsidRPr="004C5049">
        <w:rPr>
          <w:rFonts w:ascii="Century Gothic" w:eastAsia="Calibri" w:hAnsi="Century Gothic"/>
          <w:bCs/>
          <w:sz w:val="22"/>
          <w:szCs w:val="22"/>
        </w:rPr>
        <w:t xml:space="preserve"> con base en el texto propuesto que se adjunta y que forma parte integral del presente informe de ponencia POSITIVA.</w:t>
      </w:r>
      <w:r w:rsidRPr="004C5049">
        <w:rPr>
          <w:rFonts w:ascii="Century Gothic" w:eastAsia="Calibri" w:hAnsi="Century Gothic"/>
          <w:bCs/>
          <w:sz w:val="22"/>
          <w:szCs w:val="22"/>
        </w:rPr>
        <w:tab/>
      </w:r>
    </w:p>
    <w:p w:rsidR="00F238C4" w:rsidRPr="004C5049" w:rsidRDefault="00F238C4" w:rsidP="00F238C4">
      <w:pPr>
        <w:jc w:val="both"/>
        <w:rPr>
          <w:rFonts w:ascii="Century Gothic" w:hAnsi="Century Gothic" w:cs="Arial"/>
          <w:bCs/>
          <w:sz w:val="22"/>
          <w:szCs w:val="22"/>
        </w:rPr>
      </w:pPr>
      <w:r w:rsidRPr="004C5049">
        <w:rPr>
          <w:rFonts w:ascii="Century Gothic" w:hAnsi="Century Gothic" w:cs="Arial"/>
          <w:bCs/>
          <w:sz w:val="22"/>
          <w:szCs w:val="22"/>
        </w:rPr>
        <w:t xml:space="preserve">Cordialmente, </w:t>
      </w:r>
    </w:p>
    <w:p w:rsidR="00F238C4" w:rsidRPr="004C5049" w:rsidRDefault="00F238C4" w:rsidP="00F238C4">
      <w:pPr>
        <w:rPr>
          <w:rFonts w:ascii="Century Gothic" w:hAnsi="Century Gothic"/>
          <w:sz w:val="22"/>
          <w:szCs w:val="22"/>
        </w:rPr>
      </w:pPr>
    </w:p>
    <w:p w:rsidR="00F238C4" w:rsidRPr="004C5049" w:rsidRDefault="00F238C4" w:rsidP="00F238C4">
      <w:pPr>
        <w:rPr>
          <w:rFonts w:ascii="Century Gothic" w:hAnsi="Century Gothic"/>
          <w:sz w:val="22"/>
          <w:szCs w:val="22"/>
        </w:rPr>
      </w:pPr>
    </w:p>
    <w:p w:rsidR="00F238C4" w:rsidRPr="004C5049" w:rsidRDefault="00F238C4" w:rsidP="00F238C4">
      <w:pPr>
        <w:spacing w:after="0"/>
        <w:rPr>
          <w:rFonts w:ascii="Century Gothic" w:hAnsi="Century Gothic"/>
          <w:b/>
          <w:bCs/>
          <w:sz w:val="22"/>
          <w:szCs w:val="22"/>
        </w:rPr>
      </w:pPr>
      <w:r w:rsidRPr="004C5049">
        <w:rPr>
          <w:rFonts w:ascii="Century Gothic" w:hAnsi="Century Gothic"/>
          <w:b/>
          <w:bCs/>
          <w:sz w:val="22"/>
          <w:szCs w:val="22"/>
        </w:rPr>
        <w:t>ORLANDO CASTILLO ADVÍNCULA</w:t>
      </w:r>
    </w:p>
    <w:p w:rsidR="00F238C4" w:rsidRPr="004C5049" w:rsidRDefault="00F238C4" w:rsidP="00F238C4">
      <w:pPr>
        <w:spacing w:after="0"/>
        <w:rPr>
          <w:rFonts w:ascii="Century Gothic" w:hAnsi="Century Gothic"/>
          <w:b/>
          <w:bCs/>
          <w:sz w:val="22"/>
          <w:szCs w:val="22"/>
        </w:rPr>
      </w:pPr>
      <w:r w:rsidRPr="004C5049">
        <w:rPr>
          <w:rFonts w:ascii="Century Gothic" w:hAnsi="Century Gothic"/>
          <w:b/>
          <w:bCs/>
          <w:sz w:val="22"/>
          <w:szCs w:val="22"/>
        </w:rPr>
        <w:t>REPRESENTE A LA CAMARA – CITREP 9    PACIFICO MEDIO</w:t>
      </w:r>
    </w:p>
    <w:p w:rsidR="00F238C4" w:rsidRPr="004C5049" w:rsidRDefault="00F238C4" w:rsidP="00F238C4">
      <w:pPr>
        <w:rPr>
          <w:rFonts w:ascii="Century Gothic" w:hAnsi="Century Gothic"/>
          <w:sz w:val="22"/>
          <w:szCs w:val="22"/>
        </w:rPr>
      </w:pPr>
    </w:p>
    <w:p w:rsidR="00F238C4" w:rsidRPr="004C5049" w:rsidRDefault="00F238C4" w:rsidP="00F238C4">
      <w:pPr>
        <w:rPr>
          <w:rFonts w:ascii="Century Gothic" w:hAnsi="Century Gothic"/>
          <w:sz w:val="22"/>
          <w:szCs w:val="22"/>
        </w:rPr>
      </w:pPr>
    </w:p>
    <w:p w:rsidR="00F238C4" w:rsidRPr="004C5049" w:rsidRDefault="00F238C4" w:rsidP="00F238C4">
      <w:pPr>
        <w:rPr>
          <w:rFonts w:ascii="Century Gothic" w:hAnsi="Century Gothic"/>
          <w:sz w:val="22"/>
          <w:szCs w:val="22"/>
        </w:rPr>
      </w:pPr>
    </w:p>
    <w:p w:rsidR="00F238C4" w:rsidRPr="004C5049" w:rsidRDefault="00F238C4" w:rsidP="00F238C4">
      <w:pPr>
        <w:rPr>
          <w:rFonts w:ascii="Century Gothic" w:hAnsi="Century Gothic"/>
          <w:sz w:val="22"/>
          <w:szCs w:val="22"/>
        </w:rPr>
      </w:pPr>
    </w:p>
    <w:p w:rsidR="00F238C4" w:rsidRPr="004C5049" w:rsidRDefault="00F238C4" w:rsidP="00F238C4">
      <w:pPr>
        <w:rPr>
          <w:rFonts w:ascii="Century Gothic" w:hAnsi="Century Gothic"/>
          <w:sz w:val="22"/>
          <w:szCs w:val="22"/>
        </w:rPr>
      </w:pPr>
    </w:p>
    <w:p w:rsidR="00BE6A63" w:rsidRDefault="00BE6A63" w:rsidP="00F238C4">
      <w:pPr>
        <w:jc w:val="center"/>
        <w:rPr>
          <w:rFonts w:ascii="Century Gothic" w:hAnsi="Century Gothic"/>
          <w:b/>
          <w:bCs/>
          <w:sz w:val="22"/>
          <w:szCs w:val="22"/>
          <w:lang w:val="es-ES"/>
        </w:rPr>
      </w:pPr>
    </w:p>
    <w:p w:rsidR="00BE6A63" w:rsidRDefault="00BE6A63" w:rsidP="00F238C4">
      <w:pPr>
        <w:jc w:val="center"/>
        <w:rPr>
          <w:rFonts w:ascii="Century Gothic" w:hAnsi="Century Gothic"/>
          <w:b/>
          <w:bCs/>
          <w:sz w:val="22"/>
          <w:szCs w:val="22"/>
          <w:lang w:val="es-ES"/>
        </w:rPr>
      </w:pPr>
    </w:p>
    <w:p w:rsidR="00BE6A63" w:rsidRDefault="00BE6A63" w:rsidP="00F238C4">
      <w:pPr>
        <w:jc w:val="center"/>
        <w:rPr>
          <w:rFonts w:ascii="Century Gothic" w:hAnsi="Century Gothic"/>
          <w:b/>
          <w:bCs/>
          <w:sz w:val="22"/>
          <w:szCs w:val="22"/>
          <w:lang w:val="es-ES"/>
        </w:rPr>
      </w:pPr>
    </w:p>
    <w:p w:rsidR="00BE6A63" w:rsidRDefault="00BE6A63" w:rsidP="00F238C4">
      <w:pPr>
        <w:jc w:val="center"/>
        <w:rPr>
          <w:rFonts w:ascii="Century Gothic" w:hAnsi="Century Gothic"/>
          <w:b/>
          <w:bCs/>
          <w:sz w:val="22"/>
          <w:szCs w:val="22"/>
          <w:lang w:val="es-ES"/>
        </w:rPr>
      </w:pPr>
    </w:p>
    <w:p w:rsidR="00BE6A63" w:rsidRDefault="00BE6A63" w:rsidP="00F238C4">
      <w:pPr>
        <w:jc w:val="center"/>
        <w:rPr>
          <w:rFonts w:ascii="Century Gothic" w:hAnsi="Century Gothic"/>
          <w:b/>
          <w:bCs/>
          <w:sz w:val="22"/>
          <w:szCs w:val="22"/>
          <w:lang w:val="es-ES"/>
        </w:rPr>
      </w:pPr>
    </w:p>
    <w:p w:rsidR="00BE6A63" w:rsidRPr="00C524D6" w:rsidRDefault="00BE6A63" w:rsidP="00C524D6">
      <w:pPr>
        <w:pStyle w:val="Sinespaciado"/>
        <w:rPr>
          <w:sz w:val="21"/>
          <w:szCs w:val="21"/>
          <w:lang w:val="es-ES"/>
        </w:rPr>
      </w:pPr>
      <w:r w:rsidRPr="004C5049">
        <w:rPr>
          <w:noProof/>
        </w:rPr>
        <w:lastRenderedPageBreak/>
        <w:drawing>
          <wp:anchor distT="0" distB="0" distL="114300" distR="114300" simplePos="0" relativeHeight="251681792" behindDoc="1" locked="0" layoutInCell="1" allowOverlap="1" wp14:anchorId="204ACC18" wp14:editId="7084881C">
            <wp:simplePos x="0" y="0"/>
            <wp:positionH relativeFrom="page">
              <wp:align>right</wp:align>
            </wp:positionH>
            <wp:positionV relativeFrom="paragraph">
              <wp:posOffset>-1171575</wp:posOffset>
            </wp:positionV>
            <wp:extent cx="7764780" cy="10991152"/>
            <wp:effectExtent l="0" t="0" r="7620" b="127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64780" cy="10991152"/>
                    </a:xfrm>
                    <a:prstGeom prst="rect">
                      <a:avLst/>
                    </a:prstGeom>
                  </pic:spPr>
                </pic:pic>
              </a:graphicData>
            </a:graphic>
            <wp14:sizeRelH relativeFrom="page">
              <wp14:pctWidth>0</wp14:pctWidth>
            </wp14:sizeRelH>
            <wp14:sizeRelV relativeFrom="page">
              <wp14:pctHeight>0</wp14:pctHeight>
            </wp14:sizeRelV>
          </wp:anchor>
        </w:drawing>
      </w:r>
    </w:p>
    <w:p w:rsidR="00C524D6" w:rsidRPr="00C524D6" w:rsidRDefault="00490658" w:rsidP="00C524D6">
      <w:pPr>
        <w:jc w:val="both"/>
        <w:rPr>
          <w:rFonts w:ascii="Century Gothic" w:hAnsi="Century Gothic"/>
          <w:bCs/>
          <w:sz w:val="21"/>
          <w:szCs w:val="21"/>
          <w:lang w:val="es-ES"/>
        </w:rPr>
      </w:pPr>
      <w:r w:rsidRPr="00C524D6">
        <w:rPr>
          <w:rFonts w:ascii="Century Gothic" w:hAnsi="Century Gothic"/>
          <w:bCs/>
          <w:sz w:val="21"/>
          <w:szCs w:val="21"/>
          <w:lang w:val="es-ES"/>
        </w:rPr>
        <w:t xml:space="preserve">Texto propuesto para el primer debate en la Comisión Primera de la Cámara de Representantes: </w:t>
      </w:r>
    </w:p>
    <w:p w:rsidR="006150E1" w:rsidRPr="00C524D6" w:rsidRDefault="006150E1" w:rsidP="00C524D6">
      <w:pPr>
        <w:jc w:val="center"/>
        <w:rPr>
          <w:rFonts w:ascii="Century Gothic" w:hAnsi="Century Gothic"/>
          <w:b/>
          <w:bCs/>
          <w:sz w:val="21"/>
          <w:szCs w:val="21"/>
          <w:lang w:val="es-ES"/>
        </w:rPr>
      </w:pPr>
      <w:r w:rsidRPr="00C524D6">
        <w:rPr>
          <w:rFonts w:ascii="Century Gothic" w:eastAsia="Calibri" w:hAnsi="Century Gothic"/>
          <w:b/>
          <w:sz w:val="21"/>
          <w:szCs w:val="21"/>
        </w:rPr>
        <w:t xml:space="preserve">Proyecto de Acto Legislativo No. 375 de 2024 </w:t>
      </w:r>
      <w:r w:rsidRPr="00C524D6">
        <w:rPr>
          <w:rFonts w:ascii="Century Gothic" w:hAnsi="Century Gothic"/>
          <w:b/>
          <w:bCs/>
          <w:sz w:val="21"/>
          <w:szCs w:val="21"/>
          <w:lang w:val="es-ES"/>
        </w:rPr>
        <w:t>“Por medio del cual se modifica el artículo 286y el artículo 356 de la Constitución Política de Colombia y se incluyen las comunidades negras,</w:t>
      </w:r>
      <w:r w:rsidR="00C524D6" w:rsidRPr="00C524D6">
        <w:rPr>
          <w:rFonts w:ascii="Century Gothic" w:hAnsi="Century Gothic"/>
          <w:b/>
          <w:bCs/>
          <w:sz w:val="21"/>
          <w:szCs w:val="21"/>
          <w:lang w:val="es-ES"/>
        </w:rPr>
        <w:t xml:space="preserve"> </w:t>
      </w:r>
      <w:r w:rsidRPr="00C524D6">
        <w:rPr>
          <w:rFonts w:ascii="Century Gothic" w:eastAsia="Calibri" w:hAnsi="Century Gothic"/>
          <w:b/>
          <w:sz w:val="21"/>
          <w:szCs w:val="21"/>
        </w:rPr>
        <w:t>afrocolombianas, raizales y palenqueras</w:t>
      </w:r>
      <w:r w:rsidRPr="00C524D6">
        <w:rPr>
          <w:rFonts w:ascii="Century Gothic" w:hAnsi="Century Gothic"/>
          <w:b/>
          <w:bCs/>
          <w:sz w:val="21"/>
          <w:szCs w:val="21"/>
          <w:lang w:val="es-ES"/>
        </w:rPr>
        <w:t xml:space="preserve"> en la organización territorial del Estado”</w:t>
      </w:r>
    </w:p>
    <w:p w:rsidR="00F238C4" w:rsidRPr="00C524D6" w:rsidRDefault="00F238C4" w:rsidP="00F238C4">
      <w:pPr>
        <w:jc w:val="center"/>
        <w:rPr>
          <w:rFonts w:ascii="Century Gothic" w:hAnsi="Century Gothic" w:cstheme="minorHAnsi"/>
          <w:b/>
          <w:bCs/>
          <w:sz w:val="21"/>
          <w:szCs w:val="21"/>
        </w:rPr>
      </w:pPr>
      <w:r w:rsidRPr="00C524D6">
        <w:rPr>
          <w:rFonts w:ascii="Century Gothic" w:hAnsi="Century Gothic" w:cstheme="minorHAnsi"/>
          <w:b/>
          <w:bCs/>
          <w:sz w:val="21"/>
          <w:szCs w:val="21"/>
        </w:rPr>
        <w:t>El Congreso de Colombia</w:t>
      </w:r>
    </w:p>
    <w:p w:rsidR="00F238C4" w:rsidRPr="00C524D6" w:rsidRDefault="00F238C4" w:rsidP="00F238C4">
      <w:pPr>
        <w:jc w:val="center"/>
        <w:rPr>
          <w:rFonts w:ascii="Century Gothic" w:hAnsi="Century Gothic" w:cstheme="minorHAnsi"/>
          <w:b/>
          <w:bCs/>
          <w:sz w:val="21"/>
          <w:szCs w:val="21"/>
        </w:rPr>
      </w:pPr>
      <w:r w:rsidRPr="00C524D6">
        <w:rPr>
          <w:rFonts w:ascii="Century Gothic" w:hAnsi="Century Gothic" w:cstheme="minorHAnsi"/>
          <w:b/>
          <w:bCs/>
          <w:sz w:val="21"/>
          <w:szCs w:val="21"/>
        </w:rPr>
        <w:t>DECRETA</w:t>
      </w:r>
    </w:p>
    <w:p w:rsidR="00F238C4" w:rsidRPr="00C524D6" w:rsidRDefault="00F238C4" w:rsidP="00C524D6">
      <w:pPr>
        <w:widowControl w:val="0"/>
        <w:autoSpaceDE w:val="0"/>
        <w:autoSpaceDN w:val="0"/>
        <w:spacing w:after="0"/>
        <w:ind w:right="118"/>
        <w:jc w:val="both"/>
        <w:rPr>
          <w:rFonts w:ascii="Century Gothic" w:hAnsi="Century Gothic" w:cstheme="minorHAnsi"/>
          <w:b/>
          <w:sz w:val="21"/>
          <w:szCs w:val="21"/>
          <w:lang w:val="es-ES"/>
        </w:rPr>
      </w:pPr>
      <w:r w:rsidRPr="00C524D6">
        <w:rPr>
          <w:rFonts w:ascii="Century Gothic" w:hAnsi="Century Gothic" w:cstheme="minorHAnsi"/>
          <w:b/>
          <w:sz w:val="21"/>
          <w:szCs w:val="21"/>
          <w:lang w:val="es-ES"/>
        </w:rPr>
        <w:t xml:space="preserve">ARTICULO 1°. - </w:t>
      </w:r>
      <w:r w:rsidRPr="00C524D6">
        <w:rPr>
          <w:rFonts w:ascii="Century Gothic" w:hAnsi="Century Gothic" w:cstheme="minorHAnsi"/>
          <w:sz w:val="21"/>
          <w:szCs w:val="21"/>
          <w:lang w:val="es-ES"/>
        </w:rPr>
        <w:t>Modifíquese el artículo 286 de la Constitución Política de Colombia, el cual quedará así:</w:t>
      </w:r>
    </w:p>
    <w:p w:rsidR="00F238C4" w:rsidRPr="00C524D6" w:rsidRDefault="00F238C4" w:rsidP="00C524D6">
      <w:pPr>
        <w:widowControl w:val="0"/>
        <w:autoSpaceDE w:val="0"/>
        <w:autoSpaceDN w:val="0"/>
        <w:spacing w:after="0"/>
        <w:ind w:right="118"/>
        <w:jc w:val="both"/>
        <w:rPr>
          <w:rFonts w:ascii="Century Gothic" w:hAnsi="Century Gothic" w:cstheme="minorHAnsi"/>
          <w:sz w:val="21"/>
          <w:szCs w:val="21"/>
          <w:lang w:val="es-ES"/>
        </w:rPr>
      </w:pPr>
      <w:r w:rsidRPr="00C524D6">
        <w:rPr>
          <w:rFonts w:ascii="Century Gothic" w:hAnsi="Century Gothic" w:cstheme="minorHAnsi"/>
          <w:b/>
          <w:sz w:val="21"/>
          <w:szCs w:val="21"/>
          <w:lang w:val="es-ES"/>
        </w:rPr>
        <w:t>Artículo</w:t>
      </w:r>
      <w:r w:rsidRPr="00C524D6">
        <w:rPr>
          <w:rFonts w:ascii="Century Gothic" w:hAnsi="Century Gothic" w:cstheme="minorHAnsi"/>
          <w:b/>
          <w:spacing w:val="-6"/>
          <w:sz w:val="21"/>
          <w:szCs w:val="21"/>
          <w:lang w:val="es-ES"/>
        </w:rPr>
        <w:t xml:space="preserve"> </w:t>
      </w:r>
      <w:r w:rsidRPr="00C524D6">
        <w:rPr>
          <w:rFonts w:ascii="Century Gothic" w:hAnsi="Century Gothic" w:cstheme="minorHAnsi"/>
          <w:b/>
          <w:sz w:val="21"/>
          <w:szCs w:val="21"/>
          <w:lang w:val="es-ES"/>
        </w:rPr>
        <w:t>286.</w:t>
      </w:r>
      <w:r w:rsidRPr="00C524D6">
        <w:rPr>
          <w:rFonts w:ascii="Century Gothic" w:hAnsi="Century Gothic" w:cstheme="minorHAnsi"/>
          <w:b/>
          <w:spacing w:val="-3"/>
          <w:sz w:val="21"/>
          <w:szCs w:val="21"/>
          <w:lang w:val="es-ES"/>
        </w:rPr>
        <w:t xml:space="preserve"> </w:t>
      </w:r>
      <w:r w:rsidRPr="00C524D6">
        <w:rPr>
          <w:rFonts w:ascii="Century Gothic" w:hAnsi="Century Gothic" w:cstheme="minorHAnsi"/>
          <w:sz w:val="21"/>
          <w:szCs w:val="21"/>
          <w:lang w:val="es-ES"/>
        </w:rPr>
        <w:t>Son</w:t>
      </w:r>
      <w:r w:rsidRPr="00C524D6">
        <w:rPr>
          <w:rFonts w:ascii="Century Gothic" w:hAnsi="Century Gothic" w:cstheme="minorHAnsi"/>
          <w:spacing w:val="-3"/>
          <w:sz w:val="21"/>
          <w:szCs w:val="21"/>
          <w:lang w:val="es-ES"/>
        </w:rPr>
        <w:t xml:space="preserve"> </w:t>
      </w:r>
      <w:r w:rsidRPr="00C524D6">
        <w:rPr>
          <w:rFonts w:ascii="Century Gothic" w:hAnsi="Century Gothic" w:cstheme="minorHAnsi"/>
          <w:sz w:val="21"/>
          <w:szCs w:val="21"/>
          <w:lang w:val="es-ES"/>
        </w:rPr>
        <w:t>entidades</w:t>
      </w:r>
      <w:r w:rsidRPr="00C524D6">
        <w:rPr>
          <w:rFonts w:ascii="Century Gothic" w:hAnsi="Century Gothic" w:cstheme="minorHAnsi"/>
          <w:spacing w:val="-4"/>
          <w:sz w:val="21"/>
          <w:szCs w:val="21"/>
          <w:lang w:val="es-ES"/>
        </w:rPr>
        <w:t xml:space="preserve"> </w:t>
      </w:r>
      <w:r w:rsidRPr="00C524D6">
        <w:rPr>
          <w:rFonts w:ascii="Century Gothic" w:hAnsi="Century Gothic" w:cstheme="minorHAnsi"/>
          <w:sz w:val="21"/>
          <w:szCs w:val="21"/>
          <w:lang w:val="es-ES"/>
        </w:rPr>
        <w:t>territoriales</w:t>
      </w:r>
      <w:r w:rsidRPr="00C524D6">
        <w:rPr>
          <w:rFonts w:ascii="Century Gothic" w:hAnsi="Century Gothic" w:cstheme="minorHAnsi"/>
          <w:spacing w:val="-7"/>
          <w:sz w:val="21"/>
          <w:szCs w:val="21"/>
          <w:lang w:val="es-ES"/>
        </w:rPr>
        <w:t xml:space="preserve"> </w:t>
      </w:r>
      <w:r w:rsidRPr="00C524D6">
        <w:rPr>
          <w:rFonts w:ascii="Century Gothic" w:hAnsi="Century Gothic" w:cstheme="minorHAnsi"/>
          <w:sz w:val="21"/>
          <w:szCs w:val="21"/>
          <w:lang w:val="es-ES"/>
        </w:rPr>
        <w:t>los</w:t>
      </w:r>
      <w:r w:rsidRPr="00C524D6">
        <w:rPr>
          <w:rFonts w:ascii="Century Gothic" w:hAnsi="Century Gothic" w:cstheme="minorHAnsi"/>
          <w:spacing w:val="-3"/>
          <w:sz w:val="21"/>
          <w:szCs w:val="21"/>
          <w:lang w:val="es-ES"/>
        </w:rPr>
        <w:t xml:space="preserve"> </w:t>
      </w:r>
      <w:r w:rsidRPr="00C524D6">
        <w:rPr>
          <w:rFonts w:ascii="Century Gothic" w:hAnsi="Century Gothic" w:cstheme="minorHAnsi"/>
          <w:sz w:val="21"/>
          <w:szCs w:val="21"/>
          <w:lang w:val="es-ES"/>
        </w:rPr>
        <w:t>departamentos,</w:t>
      </w:r>
      <w:r w:rsidRPr="00C524D6">
        <w:rPr>
          <w:rFonts w:ascii="Century Gothic" w:hAnsi="Century Gothic" w:cstheme="minorHAnsi"/>
          <w:spacing w:val="-4"/>
          <w:sz w:val="21"/>
          <w:szCs w:val="21"/>
          <w:lang w:val="es-ES"/>
        </w:rPr>
        <w:t xml:space="preserve"> </w:t>
      </w:r>
      <w:r w:rsidRPr="00C524D6">
        <w:rPr>
          <w:rFonts w:ascii="Century Gothic" w:hAnsi="Century Gothic" w:cstheme="minorHAnsi"/>
          <w:sz w:val="21"/>
          <w:szCs w:val="21"/>
          <w:lang w:val="es-ES"/>
        </w:rPr>
        <w:t>los</w:t>
      </w:r>
      <w:r w:rsidRPr="00C524D6">
        <w:rPr>
          <w:rFonts w:ascii="Century Gothic" w:hAnsi="Century Gothic" w:cstheme="minorHAnsi"/>
          <w:spacing w:val="-4"/>
          <w:sz w:val="21"/>
          <w:szCs w:val="21"/>
          <w:lang w:val="es-ES"/>
        </w:rPr>
        <w:t xml:space="preserve"> </w:t>
      </w:r>
      <w:r w:rsidRPr="00C524D6">
        <w:rPr>
          <w:rFonts w:ascii="Century Gothic" w:hAnsi="Century Gothic" w:cstheme="minorHAnsi"/>
          <w:sz w:val="21"/>
          <w:szCs w:val="21"/>
          <w:lang w:val="es-ES"/>
        </w:rPr>
        <w:t>distritos,</w:t>
      </w:r>
      <w:r w:rsidRPr="00C524D6">
        <w:rPr>
          <w:rFonts w:ascii="Century Gothic" w:hAnsi="Century Gothic" w:cstheme="minorHAnsi"/>
          <w:spacing w:val="-3"/>
          <w:sz w:val="21"/>
          <w:szCs w:val="21"/>
          <w:lang w:val="es-ES"/>
        </w:rPr>
        <w:t xml:space="preserve"> </w:t>
      </w:r>
      <w:r w:rsidRPr="00C524D6">
        <w:rPr>
          <w:rFonts w:ascii="Century Gothic" w:hAnsi="Century Gothic" w:cstheme="minorHAnsi"/>
          <w:sz w:val="21"/>
          <w:szCs w:val="21"/>
          <w:lang w:val="es-ES"/>
        </w:rPr>
        <w:t>los</w:t>
      </w:r>
      <w:r w:rsidRPr="00C524D6">
        <w:rPr>
          <w:rFonts w:ascii="Century Gothic" w:hAnsi="Century Gothic" w:cstheme="minorHAnsi"/>
          <w:spacing w:val="-4"/>
          <w:sz w:val="21"/>
          <w:szCs w:val="21"/>
          <w:lang w:val="es-ES"/>
        </w:rPr>
        <w:t xml:space="preserve"> </w:t>
      </w:r>
      <w:r w:rsidRPr="00C524D6">
        <w:rPr>
          <w:rFonts w:ascii="Century Gothic" w:hAnsi="Century Gothic" w:cstheme="minorHAnsi"/>
          <w:sz w:val="21"/>
          <w:szCs w:val="21"/>
          <w:lang w:val="es-ES"/>
        </w:rPr>
        <w:t xml:space="preserve">municipios </w:t>
      </w:r>
      <w:proofErr w:type="gramStart"/>
      <w:r w:rsidRPr="00C524D6">
        <w:rPr>
          <w:rFonts w:ascii="Century Gothic" w:hAnsi="Century Gothic" w:cstheme="minorHAnsi"/>
          <w:spacing w:val="-52"/>
          <w:sz w:val="21"/>
          <w:szCs w:val="21"/>
          <w:lang w:val="es-ES"/>
        </w:rPr>
        <w:t>y</w:t>
      </w:r>
      <w:r w:rsidRPr="00C524D6">
        <w:rPr>
          <w:rFonts w:ascii="Century Gothic" w:hAnsi="Century Gothic" w:cstheme="minorHAnsi"/>
          <w:spacing w:val="-1"/>
          <w:sz w:val="21"/>
          <w:szCs w:val="21"/>
          <w:lang w:val="es-ES"/>
        </w:rPr>
        <w:t xml:space="preserve">  </w:t>
      </w:r>
      <w:r w:rsidRPr="00C524D6">
        <w:rPr>
          <w:rFonts w:ascii="Century Gothic" w:hAnsi="Century Gothic" w:cstheme="minorHAnsi"/>
          <w:sz w:val="21"/>
          <w:szCs w:val="21"/>
          <w:lang w:val="es-ES"/>
        </w:rPr>
        <w:t>los</w:t>
      </w:r>
      <w:proofErr w:type="gramEnd"/>
      <w:r w:rsidRPr="00C524D6">
        <w:rPr>
          <w:rFonts w:ascii="Century Gothic" w:hAnsi="Century Gothic" w:cstheme="minorHAnsi"/>
          <w:sz w:val="21"/>
          <w:szCs w:val="21"/>
          <w:lang w:val="es-ES"/>
        </w:rPr>
        <w:t xml:space="preserve"> territorios indígenas </w:t>
      </w:r>
      <w:r w:rsidRPr="00C524D6">
        <w:rPr>
          <w:rFonts w:ascii="Century Gothic" w:hAnsi="Century Gothic"/>
          <w:b/>
          <w:bCs/>
          <w:sz w:val="21"/>
          <w:szCs w:val="21"/>
          <w:u w:val="single"/>
          <w:lang w:val="es-ES"/>
        </w:rPr>
        <w:t>y los territorios de comunidades negras</w:t>
      </w:r>
      <w:r w:rsidRPr="00C524D6">
        <w:rPr>
          <w:rFonts w:ascii="Century Gothic" w:hAnsi="Century Gothic" w:cstheme="minorHAnsi"/>
          <w:b/>
          <w:bCs/>
          <w:sz w:val="21"/>
          <w:szCs w:val="21"/>
          <w:u w:val="single"/>
          <w:lang w:val="es-ES"/>
        </w:rPr>
        <w:t>.</w:t>
      </w:r>
    </w:p>
    <w:p w:rsidR="00F238C4" w:rsidRPr="00C524D6" w:rsidRDefault="00F238C4" w:rsidP="00C524D6">
      <w:pPr>
        <w:widowControl w:val="0"/>
        <w:autoSpaceDE w:val="0"/>
        <w:autoSpaceDN w:val="0"/>
        <w:spacing w:after="0"/>
        <w:ind w:right="120"/>
        <w:jc w:val="both"/>
        <w:rPr>
          <w:rFonts w:ascii="Century Gothic" w:hAnsi="Century Gothic" w:cstheme="minorHAnsi"/>
          <w:sz w:val="21"/>
          <w:szCs w:val="21"/>
          <w:lang w:val="es-ES"/>
        </w:rPr>
      </w:pPr>
      <w:r w:rsidRPr="00C524D6">
        <w:rPr>
          <w:rFonts w:ascii="Century Gothic" w:hAnsi="Century Gothic" w:cstheme="minorHAnsi"/>
          <w:sz w:val="21"/>
          <w:szCs w:val="21"/>
          <w:lang w:val="es-ES"/>
        </w:rPr>
        <w:t>La ley podrá darles el carácter de entidades territoriales a las regiones y provincias que se</w:t>
      </w:r>
      <w:r w:rsidRPr="00C524D6">
        <w:rPr>
          <w:rFonts w:ascii="Century Gothic" w:hAnsi="Century Gothic" w:cstheme="minorHAnsi"/>
          <w:spacing w:val="1"/>
          <w:sz w:val="21"/>
          <w:szCs w:val="21"/>
          <w:lang w:val="es-ES"/>
        </w:rPr>
        <w:t xml:space="preserve"> </w:t>
      </w:r>
      <w:r w:rsidRPr="00C524D6">
        <w:rPr>
          <w:rFonts w:ascii="Century Gothic" w:hAnsi="Century Gothic" w:cstheme="minorHAnsi"/>
          <w:sz w:val="21"/>
          <w:szCs w:val="21"/>
          <w:lang w:val="es-ES"/>
        </w:rPr>
        <w:t>constituyan</w:t>
      </w:r>
      <w:r w:rsidRPr="00C524D6">
        <w:rPr>
          <w:rFonts w:ascii="Century Gothic" w:hAnsi="Century Gothic" w:cstheme="minorHAnsi"/>
          <w:spacing w:val="-1"/>
          <w:sz w:val="21"/>
          <w:szCs w:val="21"/>
          <w:lang w:val="es-ES"/>
        </w:rPr>
        <w:t xml:space="preserve"> </w:t>
      </w:r>
      <w:r w:rsidRPr="00C524D6">
        <w:rPr>
          <w:rFonts w:ascii="Century Gothic" w:hAnsi="Century Gothic" w:cstheme="minorHAnsi"/>
          <w:sz w:val="21"/>
          <w:szCs w:val="21"/>
          <w:lang w:val="es-ES"/>
        </w:rPr>
        <w:t>en los términos</w:t>
      </w:r>
      <w:r w:rsidRPr="00C524D6">
        <w:rPr>
          <w:rFonts w:ascii="Century Gothic" w:hAnsi="Century Gothic" w:cstheme="minorHAnsi"/>
          <w:spacing w:val="-1"/>
          <w:sz w:val="21"/>
          <w:szCs w:val="21"/>
          <w:lang w:val="es-ES"/>
        </w:rPr>
        <w:t xml:space="preserve"> </w:t>
      </w:r>
      <w:r w:rsidRPr="00C524D6">
        <w:rPr>
          <w:rFonts w:ascii="Century Gothic" w:hAnsi="Century Gothic" w:cstheme="minorHAnsi"/>
          <w:sz w:val="21"/>
          <w:szCs w:val="21"/>
          <w:lang w:val="es-ES"/>
        </w:rPr>
        <w:t>de</w:t>
      </w:r>
      <w:r w:rsidRPr="00C524D6">
        <w:rPr>
          <w:rFonts w:ascii="Century Gothic" w:hAnsi="Century Gothic" w:cstheme="minorHAnsi"/>
          <w:spacing w:val="1"/>
          <w:sz w:val="21"/>
          <w:szCs w:val="21"/>
          <w:lang w:val="es-ES"/>
        </w:rPr>
        <w:t xml:space="preserve"> </w:t>
      </w:r>
      <w:r w:rsidRPr="00C524D6">
        <w:rPr>
          <w:rFonts w:ascii="Century Gothic" w:hAnsi="Century Gothic" w:cstheme="minorHAnsi"/>
          <w:sz w:val="21"/>
          <w:szCs w:val="21"/>
          <w:lang w:val="es-ES"/>
        </w:rPr>
        <w:t>la</w:t>
      </w:r>
      <w:r w:rsidRPr="00C524D6">
        <w:rPr>
          <w:rFonts w:ascii="Century Gothic" w:hAnsi="Century Gothic" w:cstheme="minorHAnsi"/>
          <w:spacing w:val="2"/>
          <w:sz w:val="21"/>
          <w:szCs w:val="21"/>
          <w:lang w:val="es-ES"/>
        </w:rPr>
        <w:t xml:space="preserve"> </w:t>
      </w:r>
      <w:r w:rsidRPr="00C524D6">
        <w:rPr>
          <w:rFonts w:ascii="Century Gothic" w:hAnsi="Century Gothic" w:cstheme="minorHAnsi"/>
          <w:sz w:val="21"/>
          <w:szCs w:val="21"/>
          <w:lang w:val="es-ES"/>
        </w:rPr>
        <w:t>Constitución y</w:t>
      </w:r>
      <w:r w:rsidRPr="00C524D6">
        <w:rPr>
          <w:rFonts w:ascii="Century Gothic" w:hAnsi="Century Gothic" w:cstheme="minorHAnsi"/>
          <w:spacing w:val="-1"/>
          <w:sz w:val="21"/>
          <w:szCs w:val="21"/>
          <w:lang w:val="es-ES"/>
        </w:rPr>
        <w:t xml:space="preserve"> </w:t>
      </w:r>
      <w:r w:rsidRPr="00C524D6">
        <w:rPr>
          <w:rFonts w:ascii="Century Gothic" w:hAnsi="Century Gothic" w:cstheme="minorHAnsi"/>
          <w:sz w:val="21"/>
          <w:szCs w:val="21"/>
          <w:lang w:val="es-ES"/>
        </w:rPr>
        <w:t>de</w:t>
      </w:r>
      <w:r w:rsidRPr="00C524D6">
        <w:rPr>
          <w:rFonts w:ascii="Century Gothic" w:hAnsi="Century Gothic" w:cstheme="minorHAnsi"/>
          <w:spacing w:val="2"/>
          <w:sz w:val="21"/>
          <w:szCs w:val="21"/>
          <w:lang w:val="es-ES"/>
        </w:rPr>
        <w:t xml:space="preserve"> </w:t>
      </w:r>
      <w:r w:rsidRPr="00C524D6">
        <w:rPr>
          <w:rFonts w:ascii="Century Gothic" w:hAnsi="Century Gothic" w:cstheme="minorHAnsi"/>
          <w:sz w:val="21"/>
          <w:szCs w:val="21"/>
          <w:lang w:val="es-ES"/>
        </w:rPr>
        <w:t>la</w:t>
      </w:r>
      <w:r w:rsidRPr="00C524D6">
        <w:rPr>
          <w:rFonts w:ascii="Century Gothic" w:hAnsi="Century Gothic" w:cstheme="minorHAnsi"/>
          <w:spacing w:val="2"/>
          <w:sz w:val="21"/>
          <w:szCs w:val="21"/>
          <w:lang w:val="es-ES"/>
        </w:rPr>
        <w:t xml:space="preserve"> </w:t>
      </w:r>
      <w:r w:rsidRPr="00C524D6">
        <w:rPr>
          <w:rFonts w:ascii="Century Gothic" w:hAnsi="Century Gothic" w:cstheme="minorHAnsi"/>
          <w:sz w:val="21"/>
          <w:szCs w:val="21"/>
          <w:lang w:val="es-ES"/>
        </w:rPr>
        <w:t>ley.</w:t>
      </w:r>
    </w:p>
    <w:p w:rsidR="00C524D6" w:rsidRPr="00C524D6" w:rsidRDefault="00F238C4" w:rsidP="00C524D6">
      <w:pPr>
        <w:widowControl w:val="0"/>
        <w:autoSpaceDE w:val="0"/>
        <w:autoSpaceDN w:val="0"/>
        <w:spacing w:after="0"/>
        <w:ind w:right="120"/>
        <w:jc w:val="both"/>
        <w:rPr>
          <w:rFonts w:ascii="Century Gothic" w:hAnsi="Century Gothic" w:cstheme="minorHAnsi"/>
          <w:b/>
          <w:bCs/>
          <w:sz w:val="21"/>
          <w:szCs w:val="21"/>
        </w:rPr>
      </w:pPr>
      <w:r w:rsidRPr="00C524D6">
        <w:rPr>
          <w:rFonts w:ascii="Century Gothic" w:hAnsi="Century Gothic" w:cstheme="minorHAnsi"/>
          <w:b/>
          <w:bCs/>
          <w:sz w:val="21"/>
          <w:szCs w:val="21"/>
        </w:rPr>
        <w:t xml:space="preserve">ARTÍCULO 2º. – </w:t>
      </w:r>
      <w:r w:rsidRPr="00C524D6">
        <w:rPr>
          <w:rFonts w:ascii="Century Gothic" w:hAnsi="Century Gothic" w:cstheme="minorHAnsi"/>
          <w:sz w:val="21"/>
          <w:szCs w:val="21"/>
          <w:lang w:val="es-ES"/>
        </w:rPr>
        <w:t>Modifíquese el artículo 356 de la Constitución Política de Colombia, el cual quedará así:</w:t>
      </w:r>
    </w:p>
    <w:p w:rsidR="00BE6A63" w:rsidRPr="00C524D6" w:rsidRDefault="00F238C4" w:rsidP="00C524D6">
      <w:pPr>
        <w:widowControl w:val="0"/>
        <w:autoSpaceDE w:val="0"/>
        <w:autoSpaceDN w:val="0"/>
        <w:spacing w:after="0"/>
        <w:ind w:right="120"/>
        <w:jc w:val="both"/>
        <w:rPr>
          <w:rFonts w:ascii="Century Gothic" w:hAnsi="Century Gothic" w:cstheme="minorHAnsi"/>
          <w:b/>
          <w:bCs/>
          <w:sz w:val="21"/>
          <w:szCs w:val="21"/>
        </w:rPr>
      </w:pPr>
      <w:r w:rsidRPr="00C524D6">
        <w:rPr>
          <w:rFonts w:ascii="Century Gothic" w:hAnsi="Century Gothic" w:cs="Calibri Light"/>
          <w:b/>
          <w:color w:val="000000"/>
          <w:sz w:val="21"/>
          <w:szCs w:val="21"/>
          <w:shd w:val="clear" w:color="auto" w:fill="FFFFFF"/>
        </w:rPr>
        <w:t>Artículo 356</w:t>
      </w:r>
      <w:r w:rsidRPr="00C524D6">
        <w:rPr>
          <w:rFonts w:ascii="Century Gothic" w:hAnsi="Century Gothic" w:cs="Calibri Light"/>
          <w:color w:val="000000"/>
          <w:sz w:val="21"/>
          <w:szCs w:val="21"/>
          <w:shd w:val="clear" w:color="auto" w:fill="FFFFFF"/>
        </w:rPr>
        <w:t xml:space="preserve">. Salvo lo dispuesto por la Constitución, la ley, a iniciativa del Gobierno, fijará los servicios a cargo de la Nación y de los Departamentos, Distritos, y Municipios. Para efecto de atender los servicios a cargo de éstos y a proveer los recursos para financiar adecuadamente su prestación, se crea el Sistema General de Participaciones de los Departamentos, Distritos y Municipios. Los Distritos tendrán las mismas competencias que los municipios y departamentos para efectos de la distribución del Sistema General de Participaciones que establezca la ley. Para estos efectos, serán beneficiarias las entidades territoriales indígenas, una vez constituidas. Así mismo, la ley establecerá como beneficiarios a los resguardos indígenas, </w:t>
      </w:r>
      <w:proofErr w:type="gramStart"/>
      <w:r w:rsidRPr="00C524D6">
        <w:rPr>
          <w:rFonts w:ascii="Century Gothic" w:hAnsi="Century Gothic"/>
          <w:b/>
          <w:bCs/>
          <w:sz w:val="21"/>
          <w:szCs w:val="21"/>
          <w:u w:val="single"/>
          <w:lang w:val="es-ES"/>
        </w:rPr>
        <w:t>y  los</w:t>
      </w:r>
      <w:proofErr w:type="gramEnd"/>
      <w:r w:rsidRPr="00C524D6">
        <w:rPr>
          <w:rFonts w:ascii="Century Gothic" w:hAnsi="Century Gothic"/>
          <w:b/>
          <w:bCs/>
          <w:sz w:val="21"/>
          <w:szCs w:val="21"/>
          <w:u w:val="single"/>
          <w:lang w:val="es-ES"/>
        </w:rPr>
        <w:t xml:space="preserve"> territorios de comunidades negras </w:t>
      </w:r>
      <w:r w:rsidRPr="00C524D6">
        <w:rPr>
          <w:rFonts w:ascii="Century Gothic" w:hAnsi="Century Gothic"/>
          <w:b/>
          <w:sz w:val="21"/>
          <w:szCs w:val="21"/>
          <w:u w:val="single"/>
          <w:lang w:val="es-ES"/>
        </w:rPr>
        <w:t>y a</w:t>
      </w:r>
      <w:r w:rsidRPr="00C524D6">
        <w:rPr>
          <w:rFonts w:ascii="Century Gothic" w:hAnsi="Century Gothic"/>
          <w:b/>
          <w:sz w:val="21"/>
          <w:szCs w:val="21"/>
          <w:u w:val="single"/>
        </w:rPr>
        <w:t xml:space="preserve"> los Consejos Comunitarios de las Comunidades Negras</w:t>
      </w:r>
      <w:r w:rsidRPr="00C524D6">
        <w:rPr>
          <w:rFonts w:ascii="Century Gothic" w:hAnsi="Century Gothic" w:cs="Calibri Light"/>
          <w:color w:val="000000"/>
          <w:sz w:val="21"/>
          <w:szCs w:val="21"/>
          <w:shd w:val="clear" w:color="auto" w:fill="FFFFFF"/>
        </w:rPr>
        <w:t xml:space="preserve">, siempre y cuando estos no se hayan constituido en entidad territorial indígena. Los recursos del Sistema General de Participaciones de los departamentos, distritos y municipios se destinarán a la financiación de los servicios a su cargo, dándole prioridad al servicio de salud y los servicios de educación preescolar, primaria, secundaria y media, garantizando la prestación de los servicios y la ampliación de cobertura. Teniendo en cuenta los principios de solidaridad, complementariedad y subsidiariedad, la ley señalará los casos en los cuales la Nación podrá concurrir a la financiación de los gastos en los servicios que sean señalados por la ley como de competencia de los departamentos, distritos y municipios. La ley </w:t>
      </w:r>
    </w:p>
    <w:p w:rsidR="00BE6A63" w:rsidRDefault="00BE6A63" w:rsidP="00F238C4">
      <w:pPr>
        <w:widowControl w:val="0"/>
        <w:autoSpaceDE w:val="0"/>
        <w:autoSpaceDN w:val="0"/>
        <w:spacing w:after="0"/>
        <w:ind w:left="460" w:right="120"/>
        <w:jc w:val="both"/>
        <w:rPr>
          <w:rFonts w:ascii="Century Gothic" w:hAnsi="Century Gothic"/>
          <w:noProof/>
          <w:sz w:val="22"/>
          <w:szCs w:val="22"/>
        </w:rPr>
      </w:pPr>
    </w:p>
    <w:p w:rsidR="00BE6A63" w:rsidRDefault="00C524D6" w:rsidP="00F238C4">
      <w:pPr>
        <w:widowControl w:val="0"/>
        <w:autoSpaceDE w:val="0"/>
        <w:autoSpaceDN w:val="0"/>
        <w:spacing w:after="0"/>
        <w:ind w:left="460" w:right="120"/>
        <w:jc w:val="both"/>
        <w:rPr>
          <w:rFonts w:ascii="Century Gothic" w:hAnsi="Century Gothic"/>
          <w:noProof/>
          <w:sz w:val="22"/>
          <w:szCs w:val="22"/>
        </w:rPr>
      </w:pPr>
      <w:r w:rsidRPr="00C524D6">
        <w:rPr>
          <w:rFonts w:ascii="Century Gothic" w:hAnsi="Century Gothic"/>
          <w:noProof/>
          <w:sz w:val="21"/>
          <w:szCs w:val="21"/>
        </w:rPr>
        <w:lastRenderedPageBreak/>
        <w:drawing>
          <wp:anchor distT="0" distB="0" distL="114300" distR="114300" simplePos="0" relativeHeight="251683840" behindDoc="1" locked="0" layoutInCell="1" allowOverlap="1" wp14:anchorId="1FE3FB50" wp14:editId="082D005C">
            <wp:simplePos x="0" y="0"/>
            <wp:positionH relativeFrom="page">
              <wp:align>right</wp:align>
            </wp:positionH>
            <wp:positionV relativeFrom="paragraph">
              <wp:posOffset>-1113155</wp:posOffset>
            </wp:positionV>
            <wp:extent cx="7764780" cy="10991152"/>
            <wp:effectExtent l="0" t="0" r="7620" b="127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64780" cy="10991152"/>
                    </a:xfrm>
                    <a:prstGeom prst="rect">
                      <a:avLst/>
                    </a:prstGeom>
                  </pic:spPr>
                </pic:pic>
              </a:graphicData>
            </a:graphic>
            <wp14:sizeRelH relativeFrom="page">
              <wp14:pctWidth>0</wp14:pctWidth>
            </wp14:sizeRelH>
            <wp14:sizeRelV relativeFrom="page">
              <wp14:pctHeight>0</wp14:pctHeight>
            </wp14:sizeRelV>
          </wp:anchor>
        </w:drawing>
      </w:r>
    </w:p>
    <w:p w:rsidR="00F238C4" w:rsidRPr="004C5049" w:rsidRDefault="00F238C4" w:rsidP="00F238C4">
      <w:pPr>
        <w:widowControl w:val="0"/>
        <w:autoSpaceDE w:val="0"/>
        <w:autoSpaceDN w:val="0"/>
        <w:spacing w:after="0"/>
        <w:ind w:left="460" w:right="120"/>
        <w:jc w:val="both"/>
        <w:rPr>
          <w:rFonts w:ascii="Century Gothic" w:hAnsi="Century Gothic" w:cstheme="minorHAnsi"/>
          <w:b/>
          <w:bCs/>
          <w:sz w:val="22"/>
          <w:szCs w:val="22"/>
        </w:rPr>
      </w:pPr>
      <w:r w:rsidRPr="004C5049">
        <w:rPr>
          <w:rFonts w:ascii="Century Gothic" w:hAnsi="Century Gothic" w:cs="Calibri Light"/>
          <w:color w:val="000000"/>
          <w:sz w:val="22"/>
          <w:szCs w:val="22"/>
          <w:shd w:val="clear" w:color="auto" w:fill="FFFFFF"/>
        </w:rPr>
        <w:t>reglamentará los criterios de distribución del Sistema General de Participaciones de los Departamentos, Distritos, y Municipios, de acuerdo con las competencias que le asigne a cada una de estas entidades; y contendrá las disposiciones necesarias para poner en operación el Sistema General de Participaciones de éstas, incorporando principios sobre distribución que tengan en cuenta los siguientes criterios:</w:t>
      </w:r>
    </w:p>
    <w:p w:rsidR="00F238C4" w:rsidRPr="004C5049" w:rsidRDefault="00F238C4" w:rsidP="00F238C4">
      <w:pPr>
        <w:widowControl w:val="0"/>
        <w:autoSpaceDE w:val="0"/>
        <w:autoSpaceDN w:val="0"/>
        <w:spacing w:after="0"/>
        <w:ind w:left="460" w:right="120"/>
        <w:jc w:val="both"/>
        <w:rPr>
          <w:rFonts w:ascii="Century Gothic" w:hAnsi="Century Gothic" w:cstheme="minorHAnsi"/>
          <w:b/>
          <w:bCs/>
          <w:sz w:val="22"/>
          <w:szCs w:val="22"/>
        </w:rPr>
      </w:pPr>
      <w:r w:rsidRPr="004C5049">
        <w:rPr>
          <w:rFonts w:ascii="Century Gothic" w:hAnsi="Century Gothic" w:cs="Calibri Light"/>
          <w:color w:val="000000"/>
          <w:sz w:val="22"/>
          <w:szCs w:val="22"/>
          <w:shd w:val="clear" w:color="auto" w:fill="FFFFFF"/>
        </w:rPr>
        <w:t>a. Para educación y salud: población atendida y por atender, reparto entre población urbana y rural, eficiencia administrativa y fiscal, y equidad;</w:t>
      </w:r>
    </w:p>
    <w:p w:rsidR="00F238C4" w:rsidRPr="004C5049" w:rsidRDefault="00F238C4" w:rsidP="00F238C4">
      <w:pPr>
        <w:widowControl w:val="0"/>
        <w:autoSpaceDE w:val="0"/>
        <w:autoSpaceDN w:val="0"/>
        <w:spacing w:after="0"/>
        <w:ind w:left="460" w:right="120"/>
        <w:jc w:val="both"/>
        <w:rPr>
          <w:rFonts w:ascii="Century Gothic" w:hAnsi="Century Gothic" w:cstheme="minorHAnsi"/>
          <w:b/>
          <w:bCs/>
          <w:sz w:val="22"/>
          <w:szCs w:val="22"/>
        </w:rPr>
      </w:pPr>
      <w:r w:rsidRPr="004C5049">
        <w:rPr>
          <w:rFonts w:ascii="Century Gothic" w:hAnsi="Century Gothic" w:cs="Calibri Light"/>
          <w:color w:val="000000"/>
          <w:sz w:val="22"/>
          <w:szCs w:val="22"/>
          <w:shd w:val="clear" w:color="auto" w:fill="FFFFFF"/>
        </w:rPr>
        <w:t>b. Para otros sectores: población, reparto entre población y urbana y rural, eficiencia administrativa y fiscal, y pobreza relativa.</w:t>
      </w:r>
    </w:p>
    <w:p w:rsidR="00F238C4" w:rsidRPr="004C5049" w:rsidRDefault="00F238C4" w:rsidP="00F238C4">
      <w:pPr>
        <w:widowControl w:val="0"/>
        <w:autoSpaceDE w:val="0"/>
        <w:autoSpaceDN w:val="0"/>
        <w:spacing w:after="0"/>
        <w:ind w:left="460" w:right="120"/>
        <w:jc w:val="both"/>
        <w:rPr>
          <w:rFonts w:ascii="Century Gothic" w:hAnsi="Century Gothic" w:cstheme="minorHAnsi"/>
          <w:b/>
          <w:bCs/>
          <w:sz w:val="22"/>
          <w:szCs w:val="22"/>
        </w:rPr>
      </w:pPr>
      <w:r w:rsidRPr="004C5049">
        <w:rPr>
          <w:rFonts w:ascii="Century Gothic" w:hAnsi="Century Gothic" w:cs="Calibri Light"/>
          <w:color w:val="000000"/>
          <w:sz w:val="22"/>
          <w:szCs w:val="22"/>
          <w:shd w:val="clear" w:color="auto" w:fill="FFFFFF"/>
        </w:rPr>
        <w:t>No se podrá descentralizar competencias sin la previa asignación de los recursos fiscales suficientes para atenderlas. Los recursos del Sistema General de Participaciones de los Departamentos, Distritos, y Municipios se distribuirán por sectores que defina la ley. El monto de recursos que se asigne para los sectores de salud y educación, no podrá ser inferior al que se transfería a la expedición del presente acto legislativo a cada uno de estos sectores.</w:t>
      </w:r>
    </w:p>
    <w:p w:rsidR="00F238C4" w:rsidRPr="004C5049" w:rsidRDefault="00F238C4" w:rsidP="00F238C4">
      <w:pPr>
        <w:widowControl w:val="0"/>
        <w:autoSpaceDE w:val="0"/>
        <w:autoSpaceDN w:val="0"/>
        <w:spacing w:after="0"/>
        <w:ind w:left="460" w:right="120"/>
        <w:jc w:val="both"/>
        <w:rPr>
          <w:rFonts w:ascii="Century Gothic" w:hAnsi="Century Gothic" w:cstheme="minorHAnsi"/>
          <w:b/>
          <w:bCs/>
          <w:sz w:val="22"/>
          <w:szCs w:val="22"/>
        </w:rPr>
      </w:pPr>
      <w:r w:rsidRPr="004C5049">
        <w:rPr>
          <w:rFonts w:ascii="Century Gothic" w:hAnsi="Century Gothic" w:cs="Calibri Light"/>
          <w:color w:val="000000"/>
          <w:sz w:val="22"/>
          <w:szCs w:val="22"/>
          <w:shd w:val="clear" w:color="auto" w:fill="FFFFFF"/>
        </w:rPr>
        <w:t>PARÁGRAFO TRANSITORIO. El Gobierno deberá presentar el proyecto de ley que regule la organización y funcionamiento del Sistema General de Participaciones de los Departamentos, Distritos, y Municipios, a más tardar el primer mes de sesiones del próximo período legislativo.</w:t>
      </w:r>
    </w:p>
    <w:p w:rsidR="00F238C4" w:rsidRPr="004C5049" w:rsidRDefault="00F238C4" w:rsidP="00F238C4">
      <w:pPr>
        <w:rPr>
          <w:rFonts w:ascii="Century Gothic" w:hAnsi="Century Gothic"/>
          <w:sz w:val="22"/>
          <w:szCs w:val="22"/>
        </w:rPr>
      </w:pPr>
      <w:r w:rsidRPr="004C5049">
        <w:rPr>
          <w:rFonts w:ascii="Century Gothic" w:hAnsi="Century Gothic" w:cstheme="minorHAnsi"/>
          <w:b/>
          <w:bCs/>
          <w:sz w:val="22"/>
          <w:szCs w:val="22"/>
        </w:rPr>
        <w:t>ARTÍCULO 3°. Vigencia</w:t>
      </w:r>
      <w:r w:rsidRPr="004C5049">
        <w:rPr>
          <w:rFonts w:ascii="Century Gothic" w:hAnsi="Century Gothic" w:cstheme="minorHAnsi"/>
          <w:sz w:val="22"/>
          <w:szCs w:val="22"/>
        </w:rPr>
        <w:t>. El presente acto legislativo rige a partir de su promulgación y deroga todas las disposiciones que le sean contrarias.</w:t>
      </w:r>
    </w:p>
    <w:p w:rsidR="00F238C4" w:rsidRPr="004C5049" w:rsidRDefault="00F238C4" w:rsidP="00F238C4">
      <w:pPr>
        <w:jc w:val="both"/>
        <w:rPr>
          <w:rFonts w:ascii="Century Gothic" w:hAnsi="Century Gothic" w:cs="Arial"/>
          <w:bCs/>
          <w:sz w:val="22"/>
          <w:szCs w:val="22"/>
        </w:rPr>
      </w:pPr>
      <w:r w:rsidRPr="004C5049">
        <w:rPr>
          <w:rFonts w:ascii="Century Gothic" w:hAnsi="Century Gothic" w:cs="Arial"/>
          <w:bCs/>
          <w:sz w:val="22"/>
          <w:szCs w:val="22"/>
        </w:rPr>
        <w:t xml:space="preserve">Cordialmente, </w:t>
      </w:r>
    </w:p>
    <w:p w:rsidR="00F238C4" w:rsidRPr="004C5049" w:rsidRDefault="00F238C4" w:rsidP="00F238C4">
      <w:pPr>
        <w:rPr>
          <w:rFonts w:ascii="Century Gothic" w:hAnsi="Century Gothic"/>
          <w:sz w:val="22"/>
          <w:szCs w:val="22"/>
        </w:rPr>
      </w:pPr>
    </w:p>
    <w:p w:rsidR="00F238C4" w:rsidRPr="004C5049" w:rsidRDefault="00F238C4" w:rsidP="00F238C4">
      <w:pPr>
        <w:rPr>
          <w:rFonts w:ascii="Century Gothic" w:hAnsi="Century Gothic"/>
          <w:sz w:val="22"/>
          <w:szCs w:val="22"/>
        </w:rPr>
      </w:pPr>
    </w:p>
    <w:p w:rsidR="00F238C4" w:rsidRPr="004C5049" w:rsidRDefault="00F238C4" w:rsidP="00F238C4">
      <w:pPr>
        <w:spacing w:after="0"/>
        <w:rPr>
          <w:rFonts w:ascii="Century Gothic" w:hAnsi="Century Gothic"/>
          <w:b/>
          <w:bCs/>
          <w:sz w:val="22"/>
          <w:szCs w:val="22"/>
        </w:rPr>
      </w:pPr>
      <w:r w:rsidRPr="004C5049">
        <w:rPr>
          <w:rFonts w:ascii="Century Gothic" w:hAnsi="Century Gothic"/>
          <w:b/>
          <w:bCs/>
          <w:sz w:val="22"/>
          <w:szCs w:val="22"/>
        </w:rPr>
        <w:t>ORLANDO CASTILLO ADVÍNCULA</w:t>
      </w:r>
    </w:p>
    <w:p w:rsidR="00F238C4" w:rsidRPr="004C5049" w:rsidRDefault="00F238C4" w:rsidP="00F238C4">
      <w:pPr>
        <w:spacing w:after="0"/>
        <w:rPr>
          <w:rFonts w:ascii="Century Gothic" w:hAnsi="Century Gothic"/>
          <w:b/>
          <w:bCs/>
          <w:sz w:val="22"/>
          <w:szCs w:val="22"/>
        </w:rPr>
      </w:pPr>
      <w:r w:rsidRPr="004C5049">
        <w:rPr>
          <w:rFonts w:ascii="Century Gothic" w:hAnsi="Century Gothic"/>
          <w:b/>
          <w:bCs/>
          <w:sz w:val="22"/>
          <w:szCs w:val="22"/>
        </w:rPr>
        <w:t>REPRESENTE A LA CAMARA – CITREP 9    PACIFICO MEDIO</w:t>
      </w:r>
    </w:p>
    <w:p w:rsidR="005E7FED" w:rsidRPr="004C5049" w:rsidRDefault="00C524D6">
      <w:pPr>
        <w:rPr>
          <w:rFonts w:ascii="Century Gothic" w:hAnsi="Century Gothic"/>
          <w:sz w:val="22"/>
          <w:szCs w:val="22"/>
        </w:rPr>
      </w:pPr>
    </w:p>
    <w:sectPr w:rsidR="005E7FED" w:rsidRPr="004C504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venir Light">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1111D"/>
    <w:multiLevelType w:val="hybridMultilevel"/>
    <w:tmpl w:val="D65AE9FE"/>
    <w:lvl w:ilvl="0" w:tplc="7AEC3D96">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61A1878"/>
    <w:multiLevelType w:val="multilevel"/>
    <w:tmpl w:val="DC0C3FA4"/>
    <w:lvl w:ilvl="0">
      <w:start w:val="1"/>
      <w:numFmt w:val="decimal"/>
      <w:lvlText w:val="%1."/>
      <w:lvlJc w:val="left"/>
      <w:pPr>
        <w:ind w:left="720" w:hanging="360"/>
      </w:pPr>
      <w:rPr>
        <w:rFonts w:ascii="Times New Roman" w:hAnsi="Times New Roman" w:cs="Times New Roman" w:hint="default"/>
      </w:rPr>
    </w:lvl>
    <w:lvl w:ilvl="1">
      <w:start w:val="2"/>
      <w:numFmt w:val="decimal"/>
      <w:isLgl/>
      <w:lvlText w:val="%1.%2."/>
      <w:lvlJc w:val="left"/>
      <w:pPr>
        <w:ind w:left="1440" w:hanging="360"/>
      </w:pPr>
      <w:rPr>
        <w:rFonts w:ascii="Times New Roman" w:hAnsi="Times New Roman" w:cs="Times New Roman" w:hint="default"/>
      </w:rPr>
    </w:lvl>
    <w:lvl w:ilvl="2">
      <w:start w:val="1"/>
      <w:numFmt w:val="decimal"/>
      <w:isLgl/>
      <w:lvlText w:val="%1.%2.%3."/>
      <w:lvlJc w:val="left"/>
      <w:pPr>
        <w:ind w:left="2160" w:hanging="360"/>
      </w:pPr>
      <w:rPr>
        <w:rFonts w:ascii="Times New Roman" w:hAnsi="Times New Roman" w:cs="Times New Roman" w:hint="default"/>
      </w:rPr>
    </w:lvl>
    <w:lvl w:ilvl="3">
      <w:start w:val="1"/>
      <w:numFmt w:val="decimal"/>
      <w:isLgl/>
      <w:lvlText w:val="%1.%2.%3.%4."/>
      <w:lvlJc w:val="left"/>
      <w:pPr>
        <w:ind w:left="2880" w:hanging="360"/>
      </w:pPr>
      <w:rPr>
        <w:rFonts w:ascii="Times New Roman" w:hAnsi="Times New Roman" w:cs="Times New Roman" w:hint="default"/>
      </w:rPr>
    </w:lvl>
    <w:lvl w:ilvl="4">
      <w:start w:val="1"/>
      <w:numFmt w:val="decimal"/>
      <w:isLgl/>
      <w:lvlText w:val="%1.%2.%3.%4.%5."/>
      <w:lvlJc w:val="left"/>
      <w:pPr>
        <w:ind w:left="3600" w:hanging="360"/>
      </w:pPr>
      <w:rPr>
        <w:rFonts w:ascii="Times New Roman" w:hAnsi="Times New Roman" w:cs="Times New Roman" w:hint="default"/>
      </w:rPr>
    </w:lvl>
    <w:lvl w:ilvl="5">
      <w:start w:val="1"/>
      <w:numFmt w:val="decimal"/>
      <w:isLgl/>
      <w:lvlText w:val="%1.%2.%3.%4.%5.%6."/>
      <w:lvlJc w:val="left"/>
      <w:pPr>
        <w:ind w:left="4320" w:hanging="360"/>
      </w:pPr>
      <w:rPr>
        <w:rFonts w:ascii="Times New Roman" w:hAnsi="Times New Roman" w:cs="Times New Roman" w:hint="default"/>
      </w:rPr>
    </w:lvl>
    <w:lvl w:ilvl="6">
      <w:start w:val="1"/>
      <w:numFmt w:val="decimal"/>
      <w:isLgl/>
      <w:lvlText w:val="%1.%2.%3.%4.%5.%6.%7."/>
      <w:lvlJc w:val="left"/>
      <w:pPr>
        <w:ind w:left="5040" w:hanging="360"/>
      </w:pPr>
      <w:rPr>
        <w:rFonts w:ascii="Times New Roman" w:hAnsi="Times New Roman" w:cs="Times New Roman" w:hint="default"/>
      </w:rPr>
    </w:lvl>
    <w:lvl w:ilvl="7">
      <w:start w:val="1"/>
      <w:numFmt w:val="decimal"/>
      <w:isLgl/>
      <w:lvlText w:val="%1.%2.%3.%4.%5.%6.%7.%8."/>
      <w:lvlJc w:val="left"/>
      <w:pPr>
        <w:ind w:left="5760" w:hanging="360"/>
      </w:pPr>
      <w:rPr>
        <w:rFonts w:ascii="Times New Roman" w:hAnsi="Times New Roman" w:cs="Times New Roman" w:hint="default"/>
      </w:rPr>
    </w:lvl>
    <w:lvl w:ilvl="8">
      <w:start w:val="1"/>
      <w:numFmt w:val="decimal"/>
      <w:isLgl/>
      <w:lvlText w:val="%1.%2.%3.%4.%5.%6.%7.%8.%9."/>
      <w:lvlJc w:val="left"/>
      <w:pPr>
        <w:ind w:left="6480" w:hanging="360"/>
      </w:pPr>
      <w:rPr>
        <w:rFonts w:ascii="Times New Roman" w:hAnsi="Times New Roman" w:cs="Times New Roman" w:hint="default"/>
      </w:rPr>
    </w:lvl>
  </w:abstractNum>
  <w:abstractNum w:abstractNumId="2" w15:restartNumberingAfterBreak="0">
    <w:nsid w:val="1A0D2A90"/>
    <w:multiLevelType w:val="multilevel"/>
    <w:tmpl w:val="3AA671D8"/>
    <w:lvl w:ilvl="0">
      <w:start w:val="1"/>
      <w:numFmt w:val="decimal"/>
      <w:lvlText w:val="%1."/>
      <w:lvlJc w:val="left"/>
      <w:pPr>
        <w:ind w:left="720" w:hanging="360"/>
      </w:pPr>
      <w:rPr>
        <w:rFonts w:ascii="Times New Roman" w:hAnsi="Times New Roman" w:cs="Times New Roman" w:hint="default"/>
      </w:rPr>
    </w:lvl>
    <w:lvl w:ilvl="1">
      <w:start w:val="2"/>
      <w:numFmt w:val="decimal"/>
      <w:isLgl/>
      <w:lvlText w:val="%1.%2."/>
      <w:lvlJc w:val="left"/>
      <w:pPr>
        <w:ind w:left="1440" w:hanging="360"/>
      </w:pPr>
      <w:rPr>
        <w:rFonts w:ascii="Times New Roman" w:hAnsi="Times New Roman" w:cs="Times New Roman" w:hint="default"/>
      </w:rPr>
    </w:lvl>
    <w:lvl w:ilvl="2">
      <w:start w:val="1"/>
      <w:numFmt w:val="decimal"/>
      <w:isLgl/>
      <w:lvlText w:val="%1.%2.%3."/>
      <w:lvlJc w:val="left"/>
      <w:pPr>
        <w:ind w:left="2160" w:hanging="360"/>
      </w:pPr>
      <w:rPr>
        <w:rFonts w:ascii="Times New Roman" w:hAnsi="Times New Roman" w:cs="Times New Roman" w:hint="default"/>
      </w:rPr>
    </w:lvl>
    <w:lvl w:ilvl="3">
      <w:start w:val="1"/>
      <w:numFmt w:val="decimal"/>
      <w:isLgl/>
      <w:lvlText w:val="%1.%2.%3.%4."/>
      <w:lvlJc w:val="left"/>
      <w:pPr>
        <w:ind w:left="2880" w:hanging="360"/>
      </w:pPr>
      <w:rPr>
        <w:rFonts w:ascii="Times New Roman" w:hAnsi="Times New Roman" w:cs="Times New Roman" w:hint="default"/>
      </w:rPr>
    </w:lvl>
    <w:lvl w:ilvl="4">
      <w:start w:val="1"/>
      <w:numFmt w:val="decimal"/>
      <w:isLgl/>
      <w:lvlText w:val="%1.%2.%3.%4.%5."/>
      <w:lvlJc w:val="left"/>
      <w:pPr>
        <w:ind w:left="3600" w:hanging="360"/>
      </w:pPr>
      <w:rPr>
        <w:rFonts w:ascii="Times New Roman" w:hAnsi="Times New Roman" w:cs="Times New Roman" w:hint="default"/>
      </w:rPr>
    </w:lvl>
    <w:lvl w:ilvl="5">
      <w:start w:val="1"/>
      <w:numFmt w:val="decimal"/>
      <w:isLgl/>
      <w:lvlText w:val="%1.%2.%3.%4.%5.%6."/>
      <w:lvlJc w:val="left"/>
      <w:pPr>
        <w:ind w:left="4320" w:hanging="360"/>
      </w:pPr>
      <w:rPr>
        <w:rFonts w:ascii="Times New Roman" w:hAnsi="Times New Roman" w:cs="Times New Roman" w:hint="default"/>
      </w:rPr>
    </w:lvl>
    <w:lvl w:ilvl="6">
      <w:start w:val="1"/>
      <w:numFmt w:val="decimal"/>
      <w:isLgl/>
      <w:lvlText w:val="%1.%2.%3.%4.%5.%6.%7."/>
      <w:lvlJc w:val="left"/>
      <w:pPr>
        <w:ind w:left="5040" w:hanging="360"/>
      </w:pPr>
      <w:rPr>
        <w:rFonts w:ascii="Times New Roman" w:hAnsi="Times New Roman" w:cs="Times New Roman" w:hint="default"/>
      </w:rPr>
    </w:lvl>
    <w:lvl w:ilvl="7">
      <w:start w:val="1"/>
      <w:numFmt w:val="decimal"/>
      <w:isLgl/>
      <w:lvlText w:val="%1.%2.%3.%4.%5.%6.%7.%8."/>
      <w:lvlJc w:val="left"/>
      <w:pPr>
        <w:ind w:left="5760" w:hanging="360"/>
      </w:pPr>
      <w:rPr>
        <w:rFonts w:ascii="Times New Roman" w:hAnsi="Times New Roman" w:cs="Times New Roman" w:hint="default"/>
      </w:rPr>
    </w:lvl>
    <w:lvl w:ilvl="8">
      <w:start w:val="1"/>
      <w:numFmt w:val="decimal"/>
      <w:isLgl/>
      <w:lvlText w:val="%1.%2.%3.%4.%5.%6.%7.%8.%9."/>
      <w:lvlJc w:val="left"/>
      <w:pPr>
        <w:ind w:left="6480" w:hanging="360"/>
      </w:pPr>
      <w:rPr>
        <w:rFonts w:ascii="Times New Roman" w:hAnsi="Times New Roman" w:cs="Times New Roman" w:hint="default"/>
      </w:rPr>
    </w:lvl>
  </w:abstractNum>
  <w:abstractNum w:abstractNumId="3" w15:restartNumberingAfterBreak="0">
    <w:nsid w:val="5F103F3D"/>
    <w:multiLevelType w:val="multilevel"/>
    <w:tmpl w:val="8E8875C2"/>
    <w:lvl w:ilvl="0">
      <w:start w:val="1"/>
      <w:numFmt w:val="decimal"/>
      <w:lvlText w:val="%1."/>
      <w:lvlJc w:val="left"/>
      <w:pPr>
        <w:ind w:left="720" w:hanging="360"/>
      </w:pPr>
      <w:rPr>
        <w:rFonts w:ascii="Times New Roman" w:hAnsi="Times New Roman" w:cs="Times New Roman" w:hint="default"/>
      </w:rPr>
    </w:lvl>
    <w:lvl w:ilvl="1">
      <w:start w:val="2"/>
      <w:numFmt w:val="decimal"/>
      <w:isLgl/>
      <w:lvlText w:val="%1.%2."/>
      <w:lvlJc w:val="left"/>
      <w:pPr>
        <w:ind w:left="1440" w:hanging="360"/>
      </w:pPr>
      <w:rPr>
        <w:rFonts w:ascii="Times New Roman" w:hAnsi="Times New Roman" w:cs="Times New Roman" w:hint="default"/>
      </w:rPr>
    </w:lvl>
    <w:lvl w:ilvl="2">
      <w:start w:val="1"/>
      <w:numFmt w:val="decimal"/>
      <w:isLgl/>
      <w:lvlText w:val="%1.%2.%3."/>
      <w:lvlJc w:val="left"/>
      <w:pPr>
        <w:ind w:left="2160" w:hanging="360"/>
      </w:pPr>
      <w:rPr>
        <w:rFonts w:ascii="Times New Roman" w:hAnsi="Times New Roman" w:cs="Times New Roman" w:hint="default"/>
      </w:rPr>
    </w:lvl>
    <w:lvl w:ilvl="3">
      <w:start w:val="1"/>
      <w:numFmt w:val="decimal"/>
      <w:isLgl/>
      <w:lvlText w:val="%1.%2.%3.%4."/>
      <w:lvlJc w:val="left"/>
      <w:pPr>
        <w:ind w:left="2880" w:hanging="360"/>
      </w:pPr>
      <w:rPr>
        <w:rFonts w:ascii="Times New Roman" w:hAnsi="Times New Roman" w:cs="Times New Roman" w:hint="default"/>
      </w:rPr>
    </w:lvl>
    <w:lvl w:ilvl="4">
      <w:start w:val="1"/>
      <w:numFmt w:val="decimal"/>
      <w:isLgl/>
      <w:lvlText w:val="%1.%2.%3.%4.%5."/>
      <w:lvlJc w:val="left"/>
      <w:pPr>
        <w:ind w:left="3600" w:hanging="360"/>
      </w:pPr>
      <w:rPr>
        <w:rFonts w:ascii="Times New Roman" w:hAnsi="Times New Roman" w:cs="Times New Roman" w:hint="default"/>
      </w:rPr>
    </w:lvl>
    <w:lvl w:ilvl="5">
      <w:start w:val="1"/>
      <w:numFmt w:val="decimal"/>
      <w:isLgl/>
      <w:lvlText w:val="%1.%2.%3.%4.%5.%6."/>
      <w:lvlJc w:val="left"/>
      <w:pPr>
        <w:ind w:left="4320" w:hanging="360"/>
      </w:pPr>
      <w:rPr>
        <w:rFonts w:ascii="Times New Roman" w:hAnsi="Times New Roman" w:cs="Times New Roman" w:hint="default"/>
      </w:rPr>
    </w:lvl>
    <w:lvl w:ilvl="6">
      <w:start w:val="1"/>
      <w:numFmt w:val="decimal"/>
      <w:isLgl/>
      <w:lvlText w:val="%1.%2.%3.%4.%5.%6.%7."/>
      <w:lvlJc w:val="left"/>
      <w:pPr>
        <w:ind w:left="5040" w:hanging="360"/>
      </w:pPr>
      <w:rPr>
        <w:rFonts w:ascii="Times New Roman" w:hAnsi="Times New Roman" w:cs="Times New Roman" w:hint="default"/>
      </w:rPr>
    </w:lvl>
    <w:lvl w:ilvl="7">
      <w:start w:val="1"/>
      <w:numFmt w:val="decimal"/>
      <w:isLgl/>
      <w:lvlText w:val="%1.%2.%3.%4.%5.%6.%7.%8."/>
      <w:lvlJc w:val="left"/>
      <w:pPr>
        <w:ind w:left="5760" w:hanging="360"/>
      </w:pPr>
      <w:rPr>
        <w:rFonts w:ascii="Times New Roman" w:hAnsi="Times New Roman" w:cs="Times New Roman" w:hint="default"/>
      </w:rPr>
    </w:lvl>
    <w:lvl w:ilvl="8">
      <w:start w:val="1"/>
      <w:numFmt w:val="decimal"/>
      <w:isLgl/>
      <w:lvlText w:val="%1.%2.%3.%4.%5.%6.%7.%8.%9."/>
      <w:lvlJc w:val="left"/>
      <w:pPr>
        <w:ind w:left="6480" w:hanging="360"/>
      </w:pPr>
      <w:rPr>
        <w:rFonts w:ascii="Times New Roman" w:hAnsi="Times New Roman" w:cs="Times New Roman" w:hint="default"/>
      </w:rPr>
    </w:lvl>
  </w:abstractNum>
  <w:abstractNum w:abstractNumId="4" w15:restartNumberingAfterBreak="0">
    <w:nsid w:val="63C36B76"/>
    <w:multiLevelType w:val="multilevel"/>
    <w:tmpl w:val="A4B88EC2"/>
    <w:lvl w:ilvl="0">
      <w:start w:val="5"/>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5" w15:restartNumberingAfterBreak="0">
    <w:nsid w:val="6BED22D3"/>
    <w:multiLevelType w:val="hybridMultilevel"/>
    <w:tmpl w:val="E8EA1CF6"/>
    <w:lvl w:ilvl="0" w:tplc="6C6621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9C15FA"/>
    <w:multiLevelType w:val="multilevel"/>
    <w:tmpl w:val="8F0C5972"/>
    <w:lvl w:ilvl="0">
      <w:start w:val="5"/>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num w:numId="1">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2E1"/>
    <w:rsid w:val="000964B6"/>
    <w:rsid w:val="001E22E1"/>
    <w:rsid w:val="00490658"/>
    <w:rsid w:val="00495B2B"/>
    <w:rsid w:val="004C5049"/>
    <w:rsid w:val="006150E1"/>
    <w:rsid w:val="00843CA8"/>
    <w:rsid w:val="009D4C28"/>
    <w:rsid w:val="009D6751"/>
    <w:rsid w:val="00A36E31"/>
    <w:rsid w:val="00B01B5E"/>
    <w:rsid w:val="00BA02E7"/>
    <w:rsid w:val="00BE6A63"/>
    <w:rsid w:val="00C524D6"/>
    <w:rsid w:val="00D32B05"/>
    <w:rsid w:val="00D75F88"/>
    <w:rsid w:val="00F11169"/>
    <w:rsid w:val="00F238C4"/>
    <w:rsid w:val="00F974B0"/>
    <w:rsid w:val="00FB10A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9EFA5"/>
  <w15:chartTrackingRefBased/>
  <w15:docId w15:val="{F2F84633-685E-4DE2-84A8-9A17C254F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22E1"/>
    <w:pPr>
      <w:spacing w:before="100" w:beforeAutospacing="1" w:after="100" w:afterAutospacing="1" w:line="256" w:lineRule="auto"/>
    </w:pPr>
    <w:rPr>
      <w:rFonts w:ascii="Calibri" w:eastAsia="Times New Roman" w:hAnsi="Calibri" w:cs="Calibri"/>
      <w:sz w:val="24"/>
      <w:szCs w:val="24"/>
      <w:lang w:eastAsia="es-CO"/>
    </w:rPr>
  </w:style>
  <w:style w:type="paragraph" w:styleId="Ttulo2">
    <w:name w:val="heading 2"/>
    <w:basedOn w:val="Normal"/>
    <w:next w:val="Normal"/>
    <w:link w:val="Ttulo2Car"/>
    <w:uiPriority w:val="9"/>
    <w:unhideWhenUsed/>
    <w:qFormat/>
    <w:rsid w:val="00F238C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E22E1"/>
    <w:pPr>
      <w:spacing w:after="0" w:line="240" w:lineRule="auto"/>
    </w:pPr>
  </w:style>
  <w:style w:type="paragraph" w:customStyle="1" w:styleId="Prrafodelista1">
    <w:name w:val="Párrafo de lista1"/>
    <w:basedOn w:val="Normal"/>
    <w:rsid w:val="00F238C4"/>
    <w:pPr>
      <w:contextualSpacing/>
    </w:pPr>
  </w:style>
  <w:style w:type="character" w:customStyle="1" w:styleId="Ttulo2Car">
    <w:name w:val="Título 2 Car"/>
    <w:basedOn w:val="Fuentedeprrafopredeter"/>
    <w:link w:val="Ttulo2"/>
    <w:uiPriority w:val="9"/>
    <w:rsid w:val="00F238C4"/>
    <w:rPr>
      <w:rFonts w:asciiTheme="majorHAnsi" w:eastAsiaTheme="majorEastAsia" w:hAnsiTheme="majorHAnsi" w:cstheme="majorBidi"/>
      <w:color w:val="2E74B5" w:themeColor="accent1" w:themeShade="BF"/>
      <w:sz w:val="26"/>
      <w:szCs w:val="26"/>
      <w:lang w:eastAsia="es-CO"/>
    </w:rPr>
  </w:style>
  <w:style w:type="paragraph" w:styleId="Prrafodelista">
    <w:name w:val="List Paragraph"/>
    <w:basedOn w:val="Normal"/>
    <w:uiPriority w:val="34"/>
    <w:qFormat/>
    <w:rsid w:val="00F238C4"/>
    <w:pPr>
      <w:ind w:left="720"/>
      <w:contextualSpacing/>
    </w:pPr>
  </w:style>
  <w:style w:type="character" w:customStyle="1" w:styleId="markedcontent">
    <w:name w:val="markedcontent"/>
    <w:basedOn w:val="Fuentedeprrafopredeter"/>
    <w:rsid w:val="00F238C4"/>
  </w:style>
  <w:style w:type="paragraph" w:styleId="Textodeglobo">
    <w:name w:val="Balloon Text"/>
    <w:basedOn w:val="Normal"/>
    <w:link w:val="TextodegloboCar"/>
    <w:uiPriority w:val="99"/>
    <w:semiHidden/>
    <w:unhideWhenUsed/>
    <w:rsid w:val="00BA02E7"/>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A02E7"/>
    <w:rPr>
      <w:rFonts w:ascii="Segoe UI" w:eastAsia="Times New Roman" w:hAnsi="Segoe UI" w:cs="Segoe UI"/>
      <w:sz w:val="18"/>
      <w:szCs w:val="18"/>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957427">
      <w:bodyDiv w:val="1"/>
      <w:marLeft w:val="0"/>
      <w:marRight w:val="0"/>
      <w:marTop w:val="0"/>
      <w:marBottom w:val="0"/>
      <w:divBdr>
        <w:top w:val="none" w:sz="0" w:space="0" w:color="auto"/>
        <w:left w:val="none" w:sz="0" w:space="0" w:color="auto"/>
        <w:bottom w:val="none" w:sz="0" w:space="0" w:color="auto"/>
        <w:right w:val="none" w:sz="0" w:space="0" w:color="auto"/>
      </w:divBdr>
    </w:div>
    <w:div w:id="545290986">
      <w:bodyDiv w:val="1"/>
      <w:marLeft w:val="0"/>
      <w:marRight w:val="0"/>
      <w:marTop w:val="0"/>
      <w:marBottom w:val="0"/>
      <w:divBdr>
        <w:top w:val="none" w:sz="0" w:space="0" w:color="auto"/>
        <w:left w:val="none" w:sz="0" w:space="0" w:color="auto"/>
        <w:bottom w:val="none" w:sz="0" w:space="0" w:color="auto"/>
        <w:right w:val="none" w:sz="0" w:space="0" w:color="auto"/>
      </w:divBdr>
    </w:div>
    <w:div w:id="809054609">
      <w:bodyDiv w:val="1"/>
      <w:marLeft w:val="0"/>
      <w:marRight w:val="0"/>
      <w:marTop w:val="0"/>
      <w:marBottom w:val="0"/>
      <w:divBdr>
        <w:top w:val="none" w:sz="0" w:space="0" w:color="auto"/>
        <w:left w:val="none" w:sz="0" w:space="0" w:color="auto"/>
        <w:bottom w:val="none" w:sz="0" w:space="0" w:color="auto"/>
        <w:right w:val="none" w:sz="0" w:space="0" w:color="auto"/>
      </w:divBdr>
    </w:div>
    <w:div w:id="1098794545">
      <w:bodyDiv w:val="1"/>
      <w:marLeft w:val="0"/>
      <w:marRight w:val="0"/>
      <w:marTop w:val="0"/>
      <w:marBottom w:val="0"/>
      <w:divBdr>
        <w:top w:val="none" w:sz="0" w:space="0" w:color="auto"/>
        <w:left w:val="none" w:sz="0" w:space="0" w:color="auto"/>
        <w:bottom w:val="none" w:sz="0" w:space="0" w:color="auto"/>
        <w:right w:val="none" w:sz="0" w:space="0" w:color="auto"/>
      </w:divBdr>
    </w:div>
    <w:div w:id="1396662399">
      <w:bodyDiv w:val="1"/>
      <w:marLeft w:val="0"/>
      <w:marRight w:val="0"/>
      <w:marTop w:val="0"/>
      <w:marBottom w:val="0"/>
      <w:divBdr>
        <w:top w:val="none" w:sz="0" w:space="0" w:color="auto"/>
        <w:left w:val="none" w:sz="0" w:space="0" w:color="auto"/>
        <w:bottom w:val="none" w:sz="0" w:space="0" w:color="auto"/>
        <w:right w:val="none" w:sz="0" w:space="0" w:color="auto"/>
      </w:divBdr>
    </w:div>
    <w:div w:id="1630740819">
      <w:bodyDiv w:val="1"/>
      <w:marLeft w:val="0"/>
      <w:marRight w:val="0"/>
      <w:marTop w:val="0"/>
      <w:marBottom w:val="0"/>
      <w:divBdr>
        <w:top w:val="none" w:sz="0" w:space="0" w:color="auto"/>
        <w:left w:val="none" w:sz="0" w:space="0" w:color="auto"/>
        <w:bottom w:val="none" w:sz="0" w:space="0" w:color="auto"/>
        <w:right w:val="none" w:sz="0" w:space="0" w:color="auto"/>
      </w:divBdr>
    </w:div>
    <w:div w:id="1747602982">
      <w:bodyDiv w:val="1"/>
      <w:marLeft w:val="0"/>
      <w:marRight w:val="0"/>
      <w:marTop w:val="0"/>
      <w:marBottom w:val="0"/>
      <w:divBdr>
        <w:top w:val="none" w:sz="0" w:space="0" w:color="auto"/>
        <w:left w:val="none" w:sz="0" w:space="0" w:color="auto"/>
        <w:bottom w:val="none" w:sz="0" w:space="0" w:color="auto"/>
        <w:right w:val="none" w:sz="0" w:space="0" w:color="auto"/>
      </w:divBdr>
    </w:div>
    <w:div w:id="1764648422">
      <w:bodyDiv w:val="1"/>
      <w:marLeft w:val="0"/>
      <w:marRight w:val="0"/>
      <w:marTop w:val="0"/>
      <w:marBottom w:val="0"/>
      <w:divBdr>
        <w:top w:val="none" w:sz="0" w:space="0" w:color="auto"/>
        <w:left w:val="none" w:sz="0" w:space="0" w:color="auto"/>
        <w:bottom w:val="none" w:sz="0" w:space="0" w:color="auto"/>
        <w:right w:val="none" w:sz="0" w:space="0" w:color="auto"/>
      </w:divBdr>
    </w:div>
    <w:div w:id="1783068548">
      <w:bodyDiv w:val="1"/>
      <w:marLeft w:val="0"/>
      <w:marRight w:val="0"/>
      <w:marTop w:val="0"/>
      <w:marBottom w:val="0"/>
      <w:divBdr>
        <w:top w:val="none" w:sz="0" w:space="0" w:color="auto"/>
        <w:left w:val="none" w:sz="0" w:space="0" w:color="auto"/>
        <w:bottom w:val="none" w:sz="0" w:space="0" w:color="auto"/>
        <w:right w:val="none" w:sz="0" w:space="0" w:color="auto"/>
      </w:divBdr>
    </w:div>
    <w:div w:id="1900049906">
      <w:bodyDiv w:val="1"/>
      <w:marLeft w:val="0"/>
      <w:marRight w:val="0"/>
      <w:marTop w:val="0"/>
      <w:marBottom w:val="0"/>
      <w:divBdr>
        <w:top w:val="none" w:sz="0" w:space="0" w:color="auto"/>
        <w:left w:val="none" w:sz="0" w:space="0" w:color="auto"/>
        <w:bottom w:val="none" w:sz="0" w:space="0" w:color="auto"/>
        <w:right w:val="none" w:sz="0" w:space="0" w:color="auto"/>
      </w:divBdr>
    </w:div>
    <w:div w:id="2007006562">
      <w:bodyDiv w:val="1"/>
      <w:marLeft w:val="0"/>
      <w:marRight w:val="0"/>
      <w:marTop w:val="0"/>
      <w:marBottom w:val="0"/>
      <w:divBdr>
        <w:top w:val="none" w:sz="0" w:space="0" w:color="auto"/>
        <w:left w:val="none" w:sz="0" w:space="0" w:color="auto"/>
        <w:bottom w:val="none" w:sz="0" w:space="0" w:color="auto"/>
        <w:right w:val="none" w:sz="0" w:space="0" w:color="auto"/>
      </w:divBdr>
    </w:div>
    <w:div w:id="204867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13</Pages>
  <Words>4412</Words>
  <Characters>24267</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Carolina Reyes Olmos</dc:creator>
  <cp:keywords/>
  <dc:description/>
  <cp:lastModifiedBy>Andrea Carolina Reyes Olmos</cp:lastModifiedBy>
  <cp:revision>16</cp:revision>
  <cp:lastPrinted>2024-04-05T17:07:00Z</cp:lastPrinted>
  <dcterms:created xsi:type="dcterms:W3CDTF">2024-04-03T19:20:00Z</dcterms:created>
  <dcterms:modified xsi:type="dcterms:W3CDTF">2024-04-05T17:08:00Z</dcterms:modified>
</cp:coreProperties>
</file>